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74" w:rsidRDefault="00A41974" w:rsidP="00A4197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Strategic Planning </w:t>
      </w:r>
      <w:r w:rsidR="002454F4">
        <w:rPr>
          <w:sz w:val="36"/>
          <w:szCs w:val="36"/>
        </w:rPr>
        <w:t>and</w:t>
      </w:r>
      <w:r>
        <w:rPr>
          <w:sz w:val="36"/>
          <w:szCs w:val="36"/>
        </w:rPr>
        <w:t xml:space="preserve"> </w:t>
      </w:r>
      <w:r w:rsidRPr="00A41974">
        <w:rPr>
          <w:sz w:val="36"/>
          <w:szCs w:val="36"/>
        </w:rPr>
        <w:t>Core Theme</w:t>
      </w:r>
      <w:r>
        <w:rPr>
          <w:sz w:val="36"/>
          <w:szCs w:val="36"/>
        </w:rPr>
        <w:t>s:</w:t>
      </w:r>
    </w:p>
    <w:p w:rsidR="00A26248" w:rsidRDefault="00A41974" w:rsidP="00A41974">
      <w:pPr>
        <w:jc w:val="center"/>
        <w:rPr>
          <w:sz w:val="36"/>
          <w:szCs w:val="36"/>
        </w:rPr>
      </w:pPr>
      <w:r w:rsidRPr="00A41974">
        <w:rPr>
          <w:sz w:val="36"/>
          <w:szCs w:val="36"/>
        </w:rPr>
        <w:t>Supporting Activity Status Report</w:t>
      </w:r>
      <w:r>
        <w:rPr>
          <w:sz w:val="36"/>
          <w:szCs w:val="36"/>
        </w:rPr>
        <w:t xml:space="preserve"> 2014-15</w:t>
      </w:r>
    </w:p>
    <w:p w:rsidR="00A41974" w:rsidRDefault="00A41974" w:rsidP="00A41974">
      <w:pPr>
        <w:rPr>
          <w:sz w:val="24"/>
          <w:szCs w:val="24"/>
        </w:rPr>
      </w:pPr>
    </w:p>
    <w:p w:rsidR="00A41974" w:rsidRDefault="00A41974" w:rsidP="00A41974">
      <w:pPr>
        <w:rPr>
          <w:sz w:val="24"/>
          <w:szCs w:val="24"/>
        </w:rPr>
      </w:pPr>
      <w:r>
        <w:rPr>
          <w:sz w:val="24"/>
          <w:szCs w:val="24"/>
        </w:rPr>
        <w:t>Please provide a brief summary on pro</w:t>
      </w:r>
      <w:r w:rsidR="0085160E">
        <w:rPr>
          <w:sz w:val="24"/>
          <w:szCs w:val="24"/>
        </w:rPr>
        <w:t>gress to date</w:t>
      </w:r>
      <w:r>
        <w:rPr>
          <w:sz w:val="24"/>
          <w:szCs w:val="24"/>
        </w:rPr>
        <w:t xml:space="preserve"> </w:t>
      </w:r>
      <w:r w:rsidR="006E71E9">
        <w:rPr>
          <w:sz w:val="24"/>
          <w:szCs w:val="24"/>
        </w:rPr>
        <w:t xml:space="preserve">through summer, 2015, </w:t>
      </w:r>
      <w:r>
        <w:rPr>
          <w:sz w:val="24"/>
          <w:szCs w:val="24"/>
        </w:rPr>
        <w:t>and include any supporting data.</w:t>
      </w:r>
      <w:r w:rsidR="00B17489">
        <w:rPr>
          <w:sz w:val="24"/>
          <w:szCs w:val="24"/>
        </w:rPr>
        <w:t xml:space="preserve"> Please have all status reports returned to Cathy Fulkerson by January 15, with copy to Brandis </w:t>
      </w:r>
      <w:proofErr w:type="spellStart"/>
      <w:r w:rsidR="00B17489">
        <w:rPr>
          <w:sz w:val="24"/>
          <w:szCs w:val="24"/>
        </w:rPr>
        <w:t>Senecal</w:t>
      </w:r>
      <w:proofErr w:type="spellEnd"/>
      <w:r w:rsidR="00B17489"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2340"/>
        <w:gridCol w:w="2605"/>
      </w:tblGrid>
      <w:tr w:rsidR="002454F4" w:rsidTr="002454F4">
        <w:tc>
          <w:tcPr>
            <w:tcW w:w="2155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Theme No.</w:t>
            </w:r>
          </w:p>
        </w:tc>
        <w:tc>
          <w:tcPr>
            <w:tcW w:w="2250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 No.</w:t>
            </w:r>
          </w:p>
        </w:tc>
        <w:tc>
          <w:tcPr>
            <w:tcW w:w="2340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 No.</w:t>
            </w:r>
          </w:p>
        </w:tc>
        <w:tc>
          <w:tcPr>
            <w:tcW w:w="2605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Activity No.</w:t>
            </w:r>
          </w:p>
        </w:tc>
      </w:tr>
      <w:tr w:rsidR="002454F4" w:rsidTr="002454F4">
        <w:tc>
          <w:tcPr>
            <w:tcW w:w="2155" w:type="dxa"/>
          </w:tcPr>
          <w:p w:rsidR="002454F4" w:rsidRDefault="00EF48B2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</w:t>
            </w:r>
          </w:p>
        </w:tc>
        <w:tc>
          <w:tcPr>
            <w:tcW w:w="2250" w:type="dxa"/>
          </w:tcPr>
          <w:p w:rsidR="002454F4" w:rsidRDefault="00EF48B2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340" w:type="dxa"/>
          </w:tcPr>
          <w:p w:rsidR="002454F4" w:rsidRDefault="00EF48B2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05" w:type="dxa"/>
          </w:tcPr>
          <w:p w:rsidR="002454F4" w:rsidRDefault="00EF48B2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454F4" w:rsidRDefault="002454F4" w:rsidP="00A41974">
      <w:pPr>
        <w:rPr>
          <w:sz w:val="24"/>
          <w:szCs w:val="24"/>
        </w:rPr>
      </w:pPr>
    </w:p>
    <w:p w:rsidR="00A41974" w:rsidRDefault="00A41974" w:rsidP="00A41974">
      <w:pPr>
        <w:rPr>
          <w:sz w:val="24"/>
          <w:szCs w:val="24"/>
        </w:rPr>
      </w:pPr>
      <w:r>
        <w:rPr>
          <w:sz w:val="24"/>
          <w:szCs w:val="24"/>
        </w:rPr>
        <w:t>Primary Assignee:</w:t>
      </w:r>
      <w:r w:rsidR="00EF48B2">
        <w:rPr>
          <w:sz w:val="24"/>
          <w:szCs w:val="24"/>
        </w:rPr>
        <w:t xml:space="preserve"> Dean of Business and Technology</w:t>
      </w:r>
    </w:p>
    <w:p w:rsidR="002454F4" w:rsidRDefault="002454F4" w:rsidP="00A41974">
      <w:pPr>
        <w:rPr>
          <w:sz w:val="24"/>
          <w:szCs w:val="24"/>
        </w:rPr>
      </w:pPr>
      <w:r>
        <w:rPr>
          <w:sz w:val="24"/>
          <w:szCs w:val="24"/>
        </w:rPr>
        <w:t>Other Assignees:</w:t>
      </w:r>
      <w:r w:rsidR="00EF48B2">
        <w:rPr>
          <w:sz w:val="24"/>
          <w:szCs w:val="24"/>
        </w:rPr>
        <w:t xml:space="preserve"> None</w:t>
      </w:r>
    </w:p>
    <w:p w:rsidR="00A41974" w:rsidRDefault="00A41974" w:rsidP="00A41974">
      <w:pPr>
        <w:rPr>
          <w:sz w:val="24"/>
          <w:szCs w:val="24"/>
        </w:rPr>
      </w:pPr>
      <w:r>
        <w:rPr>
          <w:sz w:val="24"/>
          <w:szCs w:val="24"/>
        </w:rPr>
        <w:t>Summary:</w:t>
      </w:r>
      <w:r w:rsidR="00EF48B2">
        <w:rPr>
          <w:sz w:val="24"/>
          <w:szCs w:val="24"/>
        </w:rPr>
        <w:t xml:space="preserve"> Response to Industry Needs </w:t>
      </w:r>
    </w:p>
    <w:p w:rsidR="00EF48B2" w:rsidRDefault="00EF48B2" w:rsidP="00A41974">
      <w:pPr>
        <w:rPr>
          <w:b/>
          <w:sz w:val="24"/>
          <w:szCs w:val="24"/>
        </w:rPr>
      </w:pPr>
      <w:r w:rsidRPr="00EF48B2">
        <w:rPr>
          <w:b/>
          <w:sz w:val="24"/>
          <w:szCs w:val="24"/>
        </w:rPr>
        <w:t>Contract Training</w:t>
      </w:r>
    </w:p>
    <w:p w:rsidR="00EF48B2" w:rsidRDefault="00EF48B2" w:rsidP="00EF48B2">
      <w:r>
        <w:t xml:space="preserve">The CTE Department offers contract training classes in Process Maintenance.  These classes fall under the Industrial Millwright Technology program, and typically provide the participants with more in-depth training on topics covered in the AAS and Certificate Millwright program.  Newmont Gold Company along with Barrick </w:t>
      </w:r>
      <w:proofErr w:type="spellStart"/>
      <w:r>
        <w:t>Goldstrike</w:t>
      </w:r>
      <w:proofErr w:type="spellEnd"/>
      <w:r>
        <w:t xml:space="preserve"> have been the main clients using these Process Maintenance classes.  The typical class size is 10 student/employees and 28 to 31 classes are offered each year.  There are 10 topics coved in these classes and they range from, Pump/Motor Shaft Alignment to Advanced Topics in Hydraulics.   </w:t>
      </w:r>
    </w:p>
    <w:p w:rsidR="00EF48B2" w:rsidRDefault="00EF48B2" w:rsidP="00EF48B2">
      <w:r>
        <w:t>Other CTE Departments offer contract training classes, and they are taught by AAS program faculty on a part-time basis.  There were 6 classes taught by Diesel Technology</w:t>
      </w:r>
      <w:r w:rsidR="00BC2029">
        <w:t xml:space="preserve"> faculty.  Class target size is</w:t>
      </w:r>
      <w:r>
        <w:t xml:space="preserve"> </w:t>
      </w:r>
      <w:r w:rsidR="00BC2029">
        <w:t>12 students, and this number is typically met.  T</w:t>
      </w:r>
      <w:r>
        <w:t xml:space="preserve">opics covered </w:t>
      </w:r>
      <w:r w:rsidR="00BC2029">
        <w:t>in these classes are based around</w:t>
      </w:r>
      <w:r>
        <w:t xml:space="preserve"> Hydraulics</w:t>
      </w:r>
      <w:r w:rsidR="00BC2029">
        <w:t>, basic and advanced.  Currently, classes have been</w:t>
      </w:r>
      <w:r>
        <w:t xml:space="preserve"> requested from the following companies; Barrick </w:t>
      </w:r>
      <w:proofErr w:type="spellStart"/>
      <w:r>
        <w:t>Goldstrike</w:t>
      </w:r>
      <w:proofErr w:type="spellEnd"/>
      <w:r>
        <w:t xml:space="preserve">, American Equipment, and Queen Stake Mine. </w:t>
      </w:r>
    </w:p>
    <w:p w:rsidR="00EF48B2" w:rsidRDefault="00EF48B2" w:rsidP="00EF48B2">
      <w:r>
        <w:t>The Electrical program offered 5 contract training classes</w:t>
      </w:r>
      <w:r w:rsidR="00BC2029">
        <w:t xml:space="preserve"> for this time </w:t>
      </w:r>
      <w:proofErr w:type="spellStart"/>
      <w:r w:rsidR="00BC2029">
        <w:t>peroid</w:t>
      </w:r>
      <w:proofErr w:type="spellEnd"/>
      <w:r>
        <w:t>, 2 were taught for Barr</w:t>
      </w:r>
      <w:r w:rsidR="00BC2029">
        <w:t xml:space="preserve">ick </w:t>
      </w:r>
      <w:proofErr w:type="spellStart"/>
      <w:r w:rsidR="00BC2029">
        <w:t>Goldstrike</w:t>
      </w:r>
      <w:proofErr w:type="spellEnd"/>
      <w:r w:rsidR="00BC2029">
        <w:t xml:space="preserve"> on</w:t>
      </w:r>
      <w:r>
        <w:t xml:space="preserve"> Arc Flash.  Two classes were taught in Winnemucca, one class for Crawford Farms and the other for the Department of Transportation.  Th</w:t>
      </w:r>
      <w:r w:rsidR="00BC2029">
        <w:t>ese 2 classes were customized for</w:t>
      </w:r>
      <w:r>
        <w:t xml:space="preserve"> the companies’ needs.  The last class was taught for </w:t>
      </w:r>
      <w:proofErr w:type="spellStart"/>
      <w:r>
        <w:t>Normet</w:t>
      </w:r>
      <w:proofErr w:type="spellEnd"/>
      <w:r>
        <w:t xml:space="preserve"> on basic electrical concepts. </w:t>
      </w:r>
    </w:p>
    <w:p w:rsidR="00EF48B2" w:rsidRDefault="00EF48B2" w:rsidP="00EF48B2">
      <w:r>
        <w:t xml:space="preserve">There is always a demand for Welding contract training classes, but we are not able to offer many classes due to the limited training lab facility.  However, we did offer three classes during </w:t>
      </w:r>
      <w:r w:rsidR="00BC2029">
        <w:t xml:space="preserve">the </w:t>
      </w:r>
      <w:r>
        <w:t>holiday breaks.  Two classes were taught f</w:t>
      </w:r>
      <w:r w:rsidR="00BC2029">
        <w:t>or Newmont Mining, and one</w:t>
      </w:r>
      <w:r>
        <w:t xml:space="preserve"> for Barrick </w:t>
      </w:r>
      <w:proofErr w:type="spellStart"/>
      <w:r>
        <w:t>Goldstrike</w:t>
      </w:r>
      <w:proofErr w:type="spellEnd"/>
      <w:r>
        <w:t xml:space="preserve">. </w:t>
      </w:r>
    </w:p>
    <w:p w:rsidR="00ED62EF" w:rsidRDefault="00ED62EF" w:rsidP="00A41974">
      <w:pPr>
        <w:rPr>
          <w:b/>
          <w:sz w:val="24"/>
          <w:szCs w:val="24"/>
        </w:rPr>
      </w:pPr>
    </w:p>
    <w:p w:rsidR="00ED62EF" w:rsidRDefault="00ED62EF" w:rsidP="00A41974">
      <w:pPr>
        <w:rPr>
          <w:b/>
          <w:sz w:val="24"/>
          <w:szCs w:val="24"/>
        </w:rPr>
      </w:pPr>
    </w:p>
    <w:p w:rsidR="00EF48B2" w:rsidRDefault="00ED62EF" w:rsidP="00A4197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Dual Credit </w:t>
      </w:r>
    </w:p>
    <w:p w:rsidR="00ED62EF" w:rsidRDefault="00ED62EF" w:rsidP="00ED62EF">
      <w:r>
        <w:t>In the area of dual credit the CTE Department is offering two electrical classes.  A request from Barrick to increase the number of students accepted into the Winnemucca Electrical program prompted the start of a High School Electrical dual credit class.  Starting spring semester 2015, ELM 112 was taught for 10 high school students, and of these, 4 enrolled in the Winnemucca Electrical program fall semester 2015.  The same program was started in Ely beginning fall semester 2015.  There were 7 students enrolled in</w:t>
      </w:r>
      <w:r w:rsidR="00BC2029">
        <w:t xml:space="preserve"> this class.  Students from the Ely</w:t>
      </w:r>
      <w:r>
        <w:t xml:space="preserve"> class will be feeder</w:t>
      </w:r>
      <w:r w:rsidR="00BC2029">
        <w:t xml:space="preserve">s </w:t>
      </w:r>
      <w:r>
        <w:t xml:space="preserve">into either the Elko or Winnemucca Electrical </w:t>
      </w:r>
      <w:r w:rsidR="00BC2029">
        <w:t xml:space="preserve">AAS and Certificate </w:t>
      </w:r>
      <w:r>
        <w:t>programs.  The Ely dual credit program is funded through a grant from Pattern Ener</w:t>
      </w:r>
      <w:r w:rsidR="00BC2029">
        <w:t>gy, and the Winnemucca class is</w:t>
      </w:r>
      <w:bookmarkStart w:id="0" w:name="_GoBack"/>
      <w:bookmarkEnd w:id="0"/>
      <w:r>
        <w:t xml:space="preserve"> funded through Barrick North America.   </w:t>
      </w:r>
    </w:p>
    <w:p w:rsidR="00ED62EF" w:rsidRPr="00EF48B2" w:rsidRDefault="00ED62EF" w:rsidP="00A41974">
      <w:pPr>
        <w:rPr>
          <w:b/>
          <w:sz w:val="24"/>
          <w:szCs w:val="24"/>
        </w:rPr>
      </w:pPr>
    </w:p>
    <w:p w:rsidR="002454F4" w:rsidRDefault="002454F4" w:rsidP="00A41974">
      <w:pPr>
        <w:rPr>
          <w:sz w:val="24"/>
          <w:szCs w:val="24"/>
        </w:rPr>
      </w:pPr>
    </w:p>
    <w:p w:rsidR="002454F4" w:rsidRPr="00A41974" w:rsidRDefault="002454F4" w:rsidP="00A41974">
      <w:pPr>
        <w:rPr>
          <w:sz w:val="24"/>
          <w:szCs w:val="24"/>
        </w:rPr>
      </w:pPr>
    </w:p>
    <w:sectPr w:rsidR="002454F4" w:rsidRPr="00A4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2454F4"/>
    <w:rsid w:val="004E6199"/>
    <w:rsid w:val="006E71E9"/>
    <w:rsid w:val="0085160E"/>
    <w:rsid w:val="00A26248"/>
    <w:rsid w:val="00A41974"/>
    <w:rsid w:val="00B17489"/>
    <w:rsid w:val="00BC2029"/>
    <w:rsid w:val="00ED62EF"/>
    <w:rsid w:val="00E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9FA2F-F39A-4816-B765-1A740327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Fulkerson, Ann C</dc:creator>
  <cp:keywords/>
  <dc:description/>
  <cp:lastModifiedBy>Great Basin College</cp:lastModifiedBy>
  <cp:revision>4</cp:revision>
  <cp:lastPrinted>2015-12-07T23:35:00Z</cp:lastPrinted>
  <dcterms:created xsi:type="dcterms:W3CDTF">2015-12-22T19:13:00Z</dcterms:created>
  <dcterms:modified xsi:type="dcterms:W3CDTF">2016-02-01T19:35:00Z</dcterms:modified>
</cp:coreProperties>
</file>