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98" w:rsidRPr="00AE24C6" w:rsidRDefault="003A1498" w:rsidP="003A1498">
      <w:pPr>
        <w:autoSpaceDE w:val="0"/>
        <w:autoSpaceDN w:val="0"/>
        <w:adjustRightInd w:val="0"/>
        <w:spacing w:after="0"/>
        <w:jc w:val="center"/>
        <w:rPr>
          <w:rFonts w:cs="Calibri"/>
          <w:b/>
          <w:szCs w:val="24"/>
        </w:rPr>
      </w:pPr>
      <w:r w:rsidRPr="00AE24C6">
        <w:rPr>
          <w:rFonts w:cs="Calibri"/>
          <w:b/>
          <w:szCs w:val="24"/>
        </w:rPr>
        <w:t>MEETING NOTES</w:t>
      </w:r>
    </w:p>
    <w:p w:rsidR="003A1498" w:rsidRPr="00AE24C6" w:rsidRDefault="003A1498" w:rsidP="003A1498">
      <w:pPr>
        <w:autoSpaceDE w:val="0"/>
        <w:autoSpaceDN w:val="0"/>
        <w:adjustRightInd w:val="0"/>
        <w:spacing w:after="0"/>
        <w:jc w:val="center"/>
        <w:rPr>
          <w:rFonts w:cs="Calibri"/>
          <w:b/>
          <w:szCs w:val="24"/>
        </w:rPr>
      </w:pPr>
      <w:r w:rsidRPr="00AE24C6">
        <w:rPr>
          <w:rFonts w:cs="Calibri"/>
          <w:b/>
          <w:szCs w:val="24"/>
        </w:rPr>
        <w:t>DEPARTMENT CHAIRS’ MEETING</w:t>
      </w:r>
    </w:p>
    <w:p w:rsidR="003A1498" w:rsidRPr="00AE24C6" w:rsidRDefault="002A1343" w:rsidP="00C81095">
      <w:pPr>
        <w:autoSpaceDE w:val="0"/>
        <w:autoSpaceDN w:val="0"/>
        <w:adjustRightInd w:val="0"/>
        <w:spacing w:after="0"/>
        <w:jc w:val="center"/>
        <w:rPr>
          <w:rFonts w:cs="Calibri"/>
          <w:szCs w:val="24"/>
        </w:rPr>
      </w:pPr>
      <w:r>
        <w:rPr>
          <w:rFonts w:cs="Calibri"/>
          <w:szCs w:val="24"/>
        </w:rPr>
        <w:t>March 2</w:t>
      </w:r>
      <w:r w:rsidR="000D0355" w:rsidRPr="00AE24C6">
        <w:rPr>
          <w:rFonts w:cs="Calibri"/>
          <w:szCs w:val="24"/>
        </w:rPr>
        <w:t>, 201</w:t>
      </w:r>
      <w:r w:rsidR="00C81095" w:rsidRPr="00AE24C6">
        <w:rPr>
          <w:rFonts w:cs="Calibri"/>
          <w:szCs w:val="24"/>
        </w:rPr>
        <w:t>2</w:t>
      </w:r>
      <w:r w:rsidR="000D0355" w:rsidRPr="00AE24C6">
        <w:rPr>
          <w:rFonts w:cs="Calibri"/>
          <w:szCs w:val="24"/>
        </w:rPr>
        <w:t xml:space="preserve"> - </w:t>
      </w:r>
      <w:r w:rsidR="003A1498" w:rsidRPr="00AE24C6">
        <w:rPr>
          <w:rFonts w:cs="Calibri"/>
          <w:szCs w:val="24"/>
        </w:rPr>
        <w:t>9:00 a.m.</w:t>
      </w:r>
    </w:p>
    <w:p w:rsidR="003A1498" w:rsidRPr="00AE24C6" w:rsidRDefault="003A1498" w:rsidP="003A1498">
      <w:pPr>
        <w:autoSpaceDE w:val="0"/>
        <w:autoSpaceDN w:val="0"/>
        <w:adjustRightInd w:val="0"/>
        <w:spacing w:after="0"/>
        <w:jc w:val="center"/>
        <w:rPr>
          <w:rFonts w:cs="Calibri"/>
          <w:szCs w:val="24"/>
        </w:rPr>
      </w:pPr>
      <w:r w:rsidRPr="00AE24C6">
        <w:rPr>
          <w:rFonts w:cs="Calibri"/>
          <w:szCs w:val="24"/>
        </w:rPr>
        <w:t>Battle Mountain #4, Elko GTA #118, Ely #118, Pahrump #120, Winnemucca #202</w:t>
      </w:r>
    </w:p>
    <w:p w:rsidR="003A1498" w:rsidRPr="00AE24C6" w:rsidRDefault="003A1498" w:rsidP="003A1498">
      <w:pPr>
        <w:autoSpaceDE w:val="0"/>
        <w:autoSpaceDN w:val="0"/>
        <w:adjustRightInd w:val="0"/>
        <w:spacing w:after="0"/>
        <w:rPr>
          <w:rFonts w:cs="Calibri"/>
          <w:szCs w:val="24"/>
        </w:rPr>
      </w:pPr>
    </w:p>
    <w:p w:rsidR="00643F6E" w:rsidRPr="00AE24C6" w:rsidRDefault="003A1498" w:rsidP="00C14CCE">
      <w:pPr>
        <w:autoSpaceDE w:val="0"/>
        <w:autoSpaceDN w:val="0"/>
        <w:adjustRightInd w:val="0"/>
        <w:spacing w:after="0"/>
        <w:ind w:left="1440" w:hanging="1440"/>
        <w:rPr>
          <w:rFonts w:cs="Calibri"/>
          <w:szCs w:val="24"/>
        </w:rPr>
      </w:pPr>
      <w:r w:rsidRPr="00AE24C6">
        <w:rPr>
          <w:rFonts w:cs="Calibri"/>
          <w:b/>
          <w:szCs w:val="24"/>
        </w:rPr>
        <w:t>Present:</w:t>
      </w:r>
      <w:r w:rsidRPr="00AE24C6">
        <w:rPr>
          <w:rFonts w:cs="Calibri"/>
          <w:szCs w:val="24"/>
        </w:rPr>
        <w:t xml:space="preserve"> </w:t>
      </w:r>
      <w:r w:rsidRPr="00AE24C6">
        <w:rPr>
          <w:rFonts w:cs="Calibri"/>
          <w:szCs w:val="24"/>
        </w:rPr>
        <w:tab/>
      </w:r>
      <w:r w:rsidR="00F35A28" w:rsidRPr="00AE24C6">
        <w:rPr>
          <w:rFonts w:cs="Calibri"/>
          <w:szCs w:val="24"/>
        </w:rPr>
        <w:t xml:space="preserve">Patty Fox, Jessica Russell, Bob </w:t>
      </w:r>
      <w:proofErr w:type="spellStart"/>
      <w:r w:rsidR="00F35A28" w:rsidRPr="00AE24C6">
        <w:rPr>
          <w:rFonts w:cs="Calibri"/>
          <w:szCs w:val="24"/>
        </w:rPr>
        <w:t>Hannu</w:t>
      </w:r>
      <w:proofErr w:type="spellEnd"/>
      <w:r w:rsidR="00F35A28" w:rsidRPr="00AE24C6">
        <w:rPr>
          <w:rFonts w:cs="Calibri"/>
          <w:szCs w:val="24"/>
        </w:rPr>
        <w:t>, D</w:t>
      </w:r>
      <w:r w:rsidR="002A1343">
        <w:rPr>
          <w:rFonts w:cs="Calibri"/>
          <w:szCs w:val="24"/>
        </w:rPr>
        <w:t xml:space="preserve">anny Gonzales, </w:t>
      </w:r>
      <w:r w:rsidR="00F35A28" w:rsidRPr="00AE24C6">
        <w:rPr>
          <w:rFonts w:cs="Calibri"/>
          <w:szCs w:val="24"/>
        </w:rPr>
        <w:t xml:space="preserve">Diane </w:t>
      </w:r>
      <w:proofErr w:type="spellStart"/>
      <w:r w:rsidR="00F35A28" w:rsidRPr="00AE24C6">
        <w:rPr>
          <w:rFonts w:cs="Calibri"/>
          <w:szCs w:val="24"/>
        </w:rPr>
        <w:t>Wrightman</w:t>
      </w:r>
      <w:proofErr w:type="spellEnd"/>
      <w:r w:rsidR="00F35A28" w:rsidRPr="00AE24C6">
        <w:rPr>
          <w:rFonts w:cs="Calibri"/>
          <w:szCs w:val="24"/>
        </w:rPr>
        <w:t xml:space="preserve">, Ami Rogers, </w:t>
      </w:r>
      <w:proofErr w:type="spellStart"/>
      <w:r w:rsidR="00F35A28" w:rsidRPr="00AE24C6">
        <w:rPr>
          <w:rFonts w:cs="Calibri"/>
          <w:szCs w:val="24"/>
        </w:rPr>
        <w:t>Ange</w:t>
      </w:r>
      <w:proofErr w:type="spellEnd"/>
      <w:r w:rsidR="00F35A28" w:rsidRPr="00AE24C6">
        <w:rPr>
          <w:rFonts w:cs="Calibri"/>
          <w:szCs w:val="24"/>
        </w:rPr>
        <w:t xml:space="preserve"> de Braga, </w:t>
      </w:r>
      <w:proofErr w:type="spellStart"/>
      <w:r w:rsidR="00F35A28" w:rsidRPr="00AE24C6">
        <w:rPr>
          <w:rFonts w:cs="Calibri"/>
          <w:szCs w:val="24"/>
        </w:rPr>
        <w:t>Xunming</w:t>
      </w:r>
      <w:proofErr w:type="spellEnd"/>
      <w:r w:rsidR="00F35A28" w:rsidRPr="00AE24C6">
        <w:rPr>
          <w:rFonts w:cs="Calibri"/>
          <w:szCs w:val="24"/>
        </w:rPr>
        <w:t xml:space="preserve"> Du</w:t>
      </w:r>
      <w:r w:rsidR="002A1343">
        <w:rPr>
          <w:rFonts w:cs="Calibri"/>
          <w:szCs w:val="24"/>
        </w:rPr>
        <w:t xml:space="preserve">, Mary </w:t>
      </w:r>
      <w:proofErr w:type="spellStart"/>
      <w:r w:rsidR="002A1343">
        <w:rPr>
          <w:rFonts w:cs="Calibri"/>
          <w:szCs w:val="24"/>
        </w:rPr>
        <w:t>Swetich</w:t>
      </w:r>
      <w:proofErr w:type="spellEnd"/>
      <w:r w:rsidR="002A1343">
        <w:rPr>
          <w:rFonts w:cs="Calibri"/>
          <w:szCs w:val="24"/>
        </w:rPr>
        <w:t xml:space="preserve">, </w:t>
      </w:r>
      <w:r w:rsidR="00F35A28" w:rsidRPr="00AE24C6">
        <w:rPr>
          <w:rFonts w:cs="Calibri"/>
          <w:szCs w:val="24"/>
        </w:rPr>
        <w:t xml:space="preserve">Bonnie </w:t>
      </w:r>
      <w:proofErr w:type="spellStart"/>
      <w:r w:rsidR="00F35A28" w:rsidRPr="00AE24C6">
        <w:rPr>
          <w:rFonts w:cs="Calibri"/>
          <w:szCs w:val="24"/>
        </w:rPr>
        <w:t>Hofland</w:t>
      </w:r>
      <w:proofErr w:type="spellEnd"/>
      <w:r w:rsidR="00F35A28" w:rsidRPr="00AE24C6">
        <w:rPr>
          <w:rFonts w:cs="Calibri"/>
          <w:szCs w:val="24"/>
        </w:rPr>
        <w:t xml:space="preserve">, Sarah </w:t>
      </w:r>
      <w:proofErr w:type="spellStart"/>
      <w:r w:rsidR="00F35A28" w:rsidRPr="00AE24C6">
        <w:rPr>
          <w:rFonts w:cs="Calibri"/>
          <w:szCs w:val="24"/>
        </w:rPr>
        <w:t>Negrete</w:t>
      </w:r>
      <w:proofErr w:type="spellEnd"/>
      <w:r w:rsidR="00F35A28" w:rsidRPr="00AE24C6">
        <w:rPr>
          <w:rFonts w:cs="Calibri"/>
          <w:szCs w:val="24"/>
        </w:rPr>
        <w:t>, Lisa Costa-Campbell,</w:t>
      </w:r>
      <w:r w:rsidR="002A1343">
        <w:rPr>
          <w:rFonts w:cs="Calibri"/>
          <w:szCs w:val="24"/>
        </w:rPr>
        <w:t xml:space="preserve"> David </w:t>
      </w:r>
      <w:proofErr w:type="spellStart"/>
      <w:r w:rsidR="002A1343">
        <w:rPr>
          <w:rFonts w:cs="Calibri"/>
          <w:szCs w:val="24"/>
        </w:rPr>
        <w:t>Ellefsen</w:t>
      </w:r>
      <w:proofErr w:type="spellEnd"/>
      <w:r w:rsidR="002A1343">
        <w:rPr>
          <w:rFonts w:cs="Calibri"/>
          <w:szCs w:val="24"/>
        </w:rPr>
        <w:t xml:space="preserve">, </w:t>
      </w:r>
      <w:r w:rsidR="00F35A28" w:rsidRPr="00AE24C6">
        <w:rPr>
          <w:rFonts w:cs="Calibri"/>
          <w:szCs w:val="24"/>
        </w:rPr>
        <w:t>Ed Nickel</w:t>
      </w:r>
      <w:r w:rsidR="002A1343">
        <w:rPr>
          <w:rFonts w:cs="Calibri"/>
          <w:szCs w:val="24"/>
        </w:rPr>
        <w:t xml:space="preserve">, Mary Doucette, </w:t>
      </w:r>
      <w:proofErr w:type="spellStart"/>
      <w:r w:rsidR="002A1343">
        <w:rPr>
          <w:rFonts w:cs="Calibri"/>
          <w:szCs w:val="24"/>
        </w:rPr>
        <w:t>Meachell</w:t>
      </w:r>
      <w:proofErr w:type="spellEnd"/>
      <w:r w:rsidR="002A1343">
        <w:rPr>
          <w:rFonts w:cs="Calibri"/>
          <w:szCs w:val="24"/>
        </w:rPr>
        <w:t xml:space="preserve"> LaSalle Walsh, David </w:t>
      </w:r>
      <w:proofErr w:type="spellStart"/>
      <w:r w:rsidR="002A1343">
        <w:rPr>
          <w:rFonts w:cs="Calibri"/>
          <w:szCs w:val="24"/>
        </w:rPr>
        <w:t>Freistroffer</w:t>
      </w:r>
      <w:proofErr w:type="spellEnd"/>
    </w:p>
    <w:p w:rsidR="00643F6E" w:rsidRPr="00AE24C6" w:rsidRDefault="00643F6E" w:rsidP="00643F6E">
      <w:pPr>
        <w:autoSpaceDE w:val="0"/>
        <w:autoSpaceDN w:val="0"/>
        <w:adjustRightInd w:val="0"/>
        <w:spacing w:after="0"/>
        <w:ind w:left="1440" w:hanging="1440"/>
        <w:rPr>
          <w:rFonts w:cs="Calibri"/>
          <w:szCs w:val="24"/>
        </w:rPr>
      </w:pPr>
    </w:p>
    <w:p w:rsidR="00643F6E" w:rsidRPr="00AE24C6" w:rsidRDefault="003A1498" w:rsidP="003A1498">
      <w:pPr>
        <w:autoSpaceDE w:val="0"/>
        <w:autoSpaceDN w:val="0"/>
        <w:adjustRightInd w:val="0"/>
        <w:spacing w:after="0"/>
        <w:ind w:left="1440" w:hanging="1440"/>
        <w:rPr>
          <w:rFonts w:cs="Calibri"/>
          <w:szCs w:val="24"/>
        </w:rPr>
      </w:pPr>
      <w:r w:rsidRPr="00AE24C6">
        <w:rPr>
          <w:rFonts w:cs="Calibri"/>
          <w:b/>
          <w:szCs w:val="24"/>
        </w:rPr>
        <w:t>Absent:</w:t>
      </w:r>
      <w:r w:rsidR="009D7BA9" w:rsidRPr="00AE24C6">
        <w:rPr>
          <w:rFonts w:cs="Calibri"/>
          <w:szCs w:val="24"/>
        </w:rPr>
        <w:t xml:space="preserve">  </w:t>
      </w:r>
      <w:r w:rsidR="009D7BA9" w:rsidRPr="00AE24C6">
        <w:rPr>
          <w:rFonts w:cs="Calibri"/>
          <w:szCs w:val="24"/>
        </w:rPr>
        <w:tab/>
      </w:r>
      <w:r w:rsidR="00F35A28" w:rsidRPr="00AE24C6">
        <w:rPr>
          <w:rFonts w:cs="Calibri"/>
          <w:szCs w:val="24"/>
        </w:rPr>
        <w:t xml:space="preserve">Pete Bagley, </w:t>
      </w:r>
      <w:r w:rsidR="002A1343">
        <w:rPr>
          <w:rFonts w:cs="Calibri"/>
          <w:szCs w:val="24"/>
        </w:rPr>
        <w:t xml:space="preserve">Norm Cavanaugh, Amber </w:t>
      </w:r>
      <w:proofErr w:type="spellStart"/>
      <w:r w:rsidR="002A1343">
        <w:rPr>
          <w:rFonts w:cs="Calibri"/>
          <w:szCs w:val="24"/>
        </w:rPr>
        <w:t>Donnelli</w:t>
      </w:r>
      <w:proofErr w:type="spellEnd"/>
      <w:r w:rsidR="002A1343">
        <w:rPr>
          <w:rFonts w:cs="Calibri"/>
          <w:szCs w:val="24"/>
        </w:rPr>
        <w:t xml:space="preserve">, Scott </w:t>
      </w:r>
      <w:proofErr w:type="spellStart"/>
      <w:r w:rsidR="002A1343">
        <w:rPr>
          <w:rFonts w:cs="Calibri"/>
          <w:szCs w:val="24"/>
        </w:rPr>
        <w:t>Hennefer</w:t>
      </w:r>
      <w:proofErr w:type="spellEnd"/>
      <w:r w:rsidR="002A1343">
        <w:rPr>
          <w:rFonts w:cs="Calibri"/>
          <w:szCs w:val="24"/>
        </w:rPr>
        <w:t xml:space="preserve">, </w:t>
      </w:r>
      <w:proofErr w:type="spellStart"/>
      <w:r w:rsidR="002A1343">
        <w:rPr>
          <w:rFonts w:cs="Calibri"/>
          <w:szCs w:val="24"/>
        </w:rPr>
        <w:t>Lidna</w:t>
      </w:r>
      <w:proofErr w:type="spellEnd"/>
      <w:r w:rsidR="002A1343">
        <w:rPr>
          <w:rFonts w:cs="Calibri"/>
          <w:szCs w:val="24"/>
        </w:rPr>
        <w:t xml:space="preserve"> </w:t>
      </w:r>
      <w:proofErr w:type="spellStart"/>
      <w:r w:rsidR="002A1343">
        <w:rPr>
          <w:rFonts w:cs="Calibri"/>
          <w:szCs w:val="24"/>
        </w:rPr>
        <w:t>Uhlenkott</w:t>
      </w:r>
      <w:proofErr w:type="spellEnd"/>
    </w:p>
    <w:p w:rsidR="003A1498" w:rsidRPr="00AE24C6" w:rsidRDefault="003A1498" w:rsidP="002A1343">
      <w:pPr>
        <w:autoSpaceDE w:val="0"/>
        <w:autoSpaceDN w:val="0"/>
        <w:adjustRightInd w:val="0"/>
        <w:spacing w:after="0"/>
        <w:rPr>
          <w:rFonts w:cs="Tahoma"/>
          <w:szCs w:val="24"/>
        </w:rPr>
      </w:pPr>
      <w:r w:rsidRPr="00AE24C6">
        <w:rPr>
          <w:rFonts w:cs="Tahoma"/>
          <w:szCs w:val="24"/>
        </w:rPr>
        <w:tab/>
      </w:r>
    </w:p>
    <w:p w:rsidR="00113676" w:rsidRPr="00AE24C6" w:rsidRDefault="00F50665" w:rsidP="00113676">
      <w:pPr>
        <w:autoSpaceDE w:val="0"/>
        <w:autoSpaceDN w:val="0"/>
        <w:adjustRightInd w:val="0"/>
        <w:spacing w:after="0"/>
        <w:rPr>
          <w:rFonts w:cs="Tahoma"/>
          <w:szCs w:val="24"/>
        </w:rPr>
      </w:pPr>
      <w:r w:rsidRPr="00AE24C6">
        <w:rPr>
          <w:rFonts w:cs="Tahoma"/>
          <w:szCs w:val="24"/>
        </w:rPr>
        <w:t>Meeting notes were a</w:t>
      </w:r>
      <w:r w:rsidR="00113676" w:rsidRPr="00AE24C6">
        <w:rPr>
          <w:rFonts w:cs="Tahoma"/>
          <w:szCs w:val="24"/>
        </w:rPr>
        <w:t>pprove</w:t>
      </w:r>
      <w:r w:rsidR="002A1343">
        <w:rPr>
          <w:rFonts w:cs="Tahoma"/>
          <w:szCs w:val="24"/>
        </w:rPr>
        <w:t>d from the February 10, 2012</w:t>
      </w:r>
      <w:r w:rsidR="00F35A28" w:rsidRPr="00AE24C6">
        <w:rPr>
          <w:rFonts w:cs="Tahoma"/>
          <w:szCs w:val="24"/>
        </w:rPr>
        <w:t xml:space="preserve"> </w:t>
      </w:r>
      <w:r w:rsidRPr="00AE24C6">
        <w:rPr>
          <w:rFonts w:cs="Tahoma"/>
          <w:szCs w:val="24"/>
        </w:rPr>
        <w:t xml:space="preserve">meeting. </w:t>
      </w:r>
    </w:p>
    <w:p w:rsidR="00113676" w:rsidRPr="00AE24C6" w:rsidRDefault="00113676" w:rsidP="00113676">
      <w:pPr>
        <w:autoSpaceDE w:val="0"/>
        <w:autoSpaceDN w:val="0"/>
        <w:adjustRightInd w:val="0"/>
        <w:spacing w:after="0"/>
        <w:ind w:left="720"/>
        <w:rPr>
          <w:rFonts w:cs="Tahoma"/>
          <w:szCs w:val="24"/>
        </w:rPr>
      </w:pPr>
    </w:p>
    <w:p w:rsidR="002A1343" w:rsidRPr="00C33B37" w:rsidRDefault="002A1343" w:rsidP="002A1343">
      <w:pPr>
        <w:autoSpaceDE w:val="0"/>
        <w:autoSpaceDN w:val="0"/>
        <w:adjustRightInd w:val="0"/>
        <w:spacing w:after="0"/>
        <w:rPr>
          <w:rFonts w:cs="Tahoma"/>
          <w:b/>
          <w:szCs w:val="24"/>
        </w:rPr>
      </w:pPr>
      <w:r w:rsidRPr="00C33B37">
        <w:rPr>
          <w:b/>
        </w:rPr>
        <w:t>Vision of Programs/Departments- Faculty Positi</w:t>
      </w:r>
      <w:r w:rsidR="00C33B37" w:rsidRPr="00C33B37">
        <w:rPr>
          <w:b/>
        </w:rPr>
        <w:t>ons’ Prioritization</w:t>
      </w:r>
    </w:p>
    <w:p w:rsidR="002A1343" w:rsidRDefault="00FF0559" w:rsidP="001E2139">
      <w:pPr>
        <w:numPr>
          <w:ilvl w:val="0"/>
          <w:numId w:val="2"/>
        </w:numPr>
        <w:autoSpaceDE w:val="0"/>
        <w:autoSpaceDN w:val="0"/>
        <w:adjustRightInd w:val="0"/>
        <w:spacing w:after="0"/>
      </w:pPr>
      <w:r>
        <w:t>Chairs reviewed the position wish list that was created at the February meeting. Changes and additions to the list are as follows:</w:t>
      </w:r>
    </w:p>
    <w:p w:rsidR="007F09A8" w:rsidRDefault="007F09A8" w:rsidP="007A32D6">
      <w:pPr>
        <w:autoSpaceDE w:val="0"/>
        <w:autoSpaceDN w:val="0"/>
        <w:adjustRightInd w:val="0"/>
        <w:spacing w:after="0"/>
        <w:jc w:val="center"/>
        <w:rPr>
          <w:b/>
          <w:szCs w:val="24"/>
        </w:rPr>
      </w:pPr>
    </w:p>
    <w:p w:rsidR="007A32D6" w:rsidRPr="00AD230E" w:rsidRDefault="007A32D6" w:rsidP="007A32D6">
      <w:pPr>
        <w:autoSpaceDE w:val="0"/>
        <w:autoSpaceDN w:val="0"/>
        <w:adjustRightInd w:val="0"/>
        <w:spacing w:after="0"/>
        <w:jc w:val="center"/>
        <w:rPr>
          <w:b/>
          <w:szCs w:val="24"/>
        </w:rPr>
      </w:pPr>
      <w:r w:rsidRPr="00AD230E">
        <w:rPr>
          <w:b/>
          <w:szCs w:val="24"/>
        </w:rPr>
        <w:t>Vision Wish List for Programs and Department – Faculty Positions</w:t>
      </w:r>
    </w:p>
    <w:p w:rsidR="00C80686" w:rsidRDefault="00C80686" w:rsidP="007A32D6">
      <w:pPr>
        <w:autoSpaceDE w:val="0"/>
        <w:autoSpaceDN w:val="0"/>
        <w:adjustRightInd w:val="0"/>
        <w:spacing w:after="0"/>
        <w:jc w:val="center"/>
      </w:pPr>
    </w:p>
    <w:tbl>
      <w:tblPr>
        <w:tblW w:w="0" w:type="auto"/>
        <w:jc w:val="center"/>
        <w:tblInd w:w="610"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248"/>
        <w:gridCol w:w="1530"/>
        <w:gridCol w:w="3798"/>
      </w:tblGrid>
      <w:tr w:rsidR="00F55A85" w:rsidRPr="00FF0559" w:rsidTr="00F55A85">
        <w:trPr>
          <w:jc w:val="center"/>
        </w:trPr>
        <w:tc>
          <w:tcPr>
            <w:tcW w:w="4248" w:type="dxa"/>
            <w:tcBorders>
              <w:top w:val="single" w:sz="8" w:space="0" w:color="404040"/>
              <w:left w:val="single" w:sz="8" w:space="0" w:color="404040"/>
              <w:bottom w:val="single" w:sz="8" w:space="0" w:color="404040"/>
            </w:tcBorders>
            <w:shd w:val="clear" w:color="auto" w:fill="000000"/>
          </w:tcPr>
          <w:p w:rsidR="00FF0559" w:rsidRPr="00F55A85" w:rsidRDefault="00FF0559" w:rsidP="00F55A85">
            <w:pPr>
              <w:spacing w:after="0"/>
              <w:rPr>
                <w:b/>
                <w:bCs/>
                <w:color w:val="FFFFFF"/>
                <w:sz w:val="20"/>
                <w:szCs w:val="20"/>
              </w:rPr>
            </w:pPr>
            <w:r w:rsidRPr="00F55A85">
              <w:rPr>
                <w:b/>
                <w:bCs/>
                <w:color w:val="FFFFFF"/>
                <w:sz w:val="20"/>
                <w:szCs w:val="20"/>
              </w:rPr>
              <w:t>Instructor Position</w:t>
            </w:r>
          </w:p>
        </w:tc>
        <w:tc>
          <w:tcPr>
            <w:tcW w:w="1530" w:type="dxa"/>
            <w:tcBorders>
              <w:top w:val="single" w:sz="8" w:space="0" w:color="404040"/>
              <w:bottom w:val="single" w:sz="8" w:space="0" w:color="404040"/>
            </w:tcBorders>
            <w:shd w:val="clear" w:color="auto" w:fill="000000"/>
          </w:tcPr>
          <w:p w:rsidR="00FF0559" w:rsidRPr="00F55A85" w:rsidRDefault="00FF0559" w:rsidP="00F55A85">
            <w:pPr>
              <w:spacing w:after="0"/>
              <w:rPr>
                <w:b/>
                <w:bCs/>
                <w:color w:val="FFFFFF"/>
                <w:sz w:val="20"/>
                <w:szCs w:val="20"/>
              </w:rPr>
            </w:pPr>
            <w:r w:rsidRPr="00F55A85">
              <w:rPr>
                <w:b/>
                <w:bCs/>
                <w:color w:val="FFFFFF"/>
                <w:sz w:val="20"/>
                <w:szCs w:val="20"/>
              </w:rPr>
              <w:t>Location</w:t>
            </w:r>
          </w:p>
        </w:tc>
        <w:tc>
          <w:tcPr>
            <w:tcW w:w="3798" w:type="dxa"/>
            <w:tcBorders>
              <w:top w:val="single" w:sz="8" w:space="0" w:color="404040"/>
              <w:bottom w:val="single" w:sz="8" w:space="0" w:color="404040"/>
              <w:right w:val="single" w:sz="8" w:space="0" w:color="404040"/>
            </w:tcBorders>
            <w:shd w:val="clear" w:color="auto" w:fill="000000"/>
          </w:tcPr>
          <w:p w:rsidR="00FF0559" w:rsidRPr="00F55A85" w:rsidRDefault="00FF0559" w:rsidP="00F55A85">
            <w:pPr>
              <w:spacing w:after="0"/>
              <w:rPr>
                <w:b/>
                <w:bCs/>
                <w:color w:val="FFFFFF"/>
                <w:sz w:val="20"/>
                <w:szCs w:val="20"/>
              </w:rPr>
            </w:pPr>
            <w:r w:rsidRPr="00F55A85">
              <w:rPr>
                <w:b/>
                <w:bCs/>
                <w:color w:val="FFFFFF"/>
                <w:sz w:val="20"/>
                <w:szCs w:val="20"/>
              </w:rPr>
              <w:t>Department</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Art</w:t>
            </w:r>
          </w:p>
        </w:tc>
        <w:tc>
          <w:tcPr>
            <w:tcW w:w="1530" w:type="dxa"/>
            <w:shd w:val="clear" w:color="auto" w:fill="C0C0C0"/>
          </w:tcPr>
          <w:p w:rsidR="00FF0559" w:rsidRPr="00FF0559" w:rsidRDefault="00FF0559" w:rsidP="00F55A85">
            <w:pPr>
              <w:spacing w:after="0"/>
              <w:rPr>
                <w:sz w:val="20"/>
                <w:szCs w:val="20"/>
              </w:rPr>
            </w:pPr>
            <w:r w:rsidRPr="00FF0559">
              <w:rPr>
                <w:sz w:val="20"/>
                <w:szCs w:val="20"/>
              </w:rPr>
              <w:t>Elko</w:t>
            </w:r>
          </w:p>
        </w:tc>
        <w:tc>
          <w:tcPr>
            <w:tcW w:w="3798" w:type="dxa"/>
            <w:shd w:val="clear" w:color="auto" w:fill="C0C0C0"/>
          </w:tcPr>
          <w:p w:rsidR="00FF0559" w:rsidRPr="00FF0559" w:rsidRDefault="00FF0559" w:rsidP="00F55A85">
            <w:pPr>
              <w:spacing w:after="0"/>
              <w:rPr>
                <w:sz w:val="20"/>
                <w:szCs w:val="20"/>
              </w:rPr>
            </w:pPr>
            <w:r w:rsidRPr="00FF0559">
              <w:rPr>
                <w:sz w:val="20"/>
                <w:szCs w:val="20"/>
              </w:rPr>
              <w:t>Fine Arts &amp; Humanities</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Career and Technical</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Winnemucca</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Career and Technical Education</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Computer Technologies</w:t>
            </w:r>
          </w:p>
        </w:tc>
        <w:tc>
          <w:tcPr>
            <w:tcW w:w="1530" w:type="dxa"/>
            <w:shd w:val="clear" w:color="auto" w:fill="C0C0C0"/>
          </w:tcPr>
          <w:p w:rsidR="00FF0559" w:rsidRPr="00FF0559" w:rsidRDefault="00FF0559" w:rsidP="00F55A85">
            <w:pPr>
              <w:spacing w:after="0"/>
              <w:rPr>
                <w:sz w:val="20"/>
                <w:szCs w:val="20"/>
              </w:rPr>
            </w:pPr>
            <w:r w:rsidRPr="00FF0559">
              <w:rPr>
                <w:sz w:val="20"/>
                <w:szCs w:val="20"/>
              </w:rPr>
              <w:t>Pahrump</w:t>
            </w:r>
          </w:p>
        </w:tc>
        <w:tc>
          <w:tcPr>
            <w:tcW w:w="3798" w:type="dxa"/>
            <w:shd w:val="clear" w:color="auto" w:fill="C0C0C0"/>
          </w:tcPr>
          <w:p w:rsidR="00FF0559" w:rsidRPr="00FF0559" w:rsidRDefault="00FF0559" w:rsidP="00F55A85">
            <w:pPr>
              <w:spacing w:after="0"/>
              <w:rPr>
                <w:sz w:val="20"/>
                <w:szCs w:val="20"/>
              </w:rPr>
            </w:pPr>
            <w:r w:rsidRPr="00FF0559">
              <w:rPr>
                <w:sz w:val="20"/>
                <w:szCs w:val="20"/>
              </w:rPr>
              <w:t>Computer Technologies     (VPAA)</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Electrical Technology</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Elko</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Career and Technical Education</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English/25% Advising and 75% teaching</w:t>
            </w:r>
          </w:p>
        </w:tc>
        <w:tc>
          <w:tcPr>
            <w:tcW w:w="1530" w:type="dxa"/>
            <w:shd w:val="clear" w:color="auto" w:fill="C0C0C0"/>
          </w:tcPr>
          <w:p w:rsidR="00FF0559" w:rsidRPr="00FF0559" w:rsidRDefault="00FF0559" w:rsidP="00F55A85">
            <w:pPr>
              <w:spacing w:after="0"/>
              <w:rPr>
                <w:sz w:val="20"/>
                <w:szCs w:val="20"/>
              </w:rPr>
            </w:pPr>
            <w:r w:rsidRPr="00FF0559">
              <w:rPr>
                <w:sz w:val="20"/>
                <w:szCs w:val="20"/>
              </w:rPr>
              <w:t>Ely</w:t>
            </w:r>
          </w:p>
        </w:tc>
        <w:tc>
          <w:tcPr>
            <w:tcW w:w="3798" w:type="dxa"/>
            <w:shd w:val="clear" w:color="auto" w:fill="C0C0C0"/>
          </w:tcPr>
          <w:p w:rsidR="00FF0559" w:rsidRPr="00FF0559" w:rsidRDefault="00FF0559" w:rsidP="00F55A85">
            <w:pPr>
              <w:spacing w:after="0"/>
              <w:rPr>
                <w:sz w:val="20"/>
                <w:szCs w:val="20"/>
              </w:rPr>
            </w:pPr>
            <w:r w:rsidRPr="00FF0559">
              <w:rPr>
                <w:sz w:val="20"/>
                <w:szCs w:val="20"/>
              </w:rPr>
              <w:t>English</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Industrial Millwright Technology</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Elko</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Career and Technical Education</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Instrumentation Technology</w:t>
            </w:r>
          </w:p>
        </w:tc>
        <w:tc>
          <w:tcPr>
            <w:tcW w:w="1530" w:type="dxa"/>
            <w:shd w:val="clear" w:color="auto" w:fill="C0C0C0"/>
          </w:tcPr>
          <w:p w:rsidR="00FF0559" w:rsidRPr="00FF0559" w:rsidRDefault="00FF0559" w:rsidP="00F55A85">
            <w:pPr>
              <w:spacing w:after="0"/>
              <w:rPr>
                <w:sz w:val="20"/>
                <w:szCs w:val="20"/>
              </w:rPr>
            </w:pPr>
            <w:r w:rsidRPr="00FF0559">
              <w:rPr>
                <w:sz w:val="20"/>
                <w:szCs w:val="20"/>
              </w:rPr>
              <w:t>Elko</w:t>
            </w:r>
          </w:p>
        </w:tc>
        <w:tc>
          <w:tcPr>
            <w:tcW w:w="3798" w:type="dxa"/>
            <w:shd w:val="clear" w:color="auto" w:fill="C0C0C0"/>
          </w:tcPr>
          <w:p w:rsidR="00FF0559" w:rsidRPr="00FF0559" w:rsidRDefault="00FF0559" w:rsidP="00F55A85">
            <w:pPr>
              <w:spacing w:after="0"/>
              <w:rPr>
                <w:sz w:val="20"/>
                <w:szCs w:val="20"/>
              </w:rPr>
            </w:pPr>
            <w:r w:rsidRPr="00FF0559">
              <w:rPr>
                <w:sz w:val="20"/>
                <w:szCs w:val="20"/>
              </w:rPr>
              <w:t>Career and Technical Education</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Math</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Elko</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Math</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Math</w:t>
            </w:r>
          </w:p>
        </w:tc>
        <w:tc>
          <w:tcPr>
            <w:tcW w:w="1530" w:type="dxa"/>
            <w:shd w:val="clear" w:color="auto" w:fill="C0C0C0"/>
          </w:tcPr>
          <w:p w:rsidR="00FF0559" w:rsidRPr="00FF0559" w:rsidRDefault="00FF0559" w:rsidP="00F55A85">
            <w:pPr>
              <w:spacing w:after="0"/>
              <w:rPr>
                <w:sz w:val="20"/>
                <w:szCs w:val="20"/>
              </w:rPr>
            </w:pPr>
            <w:r w:rsidRPr="00FF0559">
              <w:rPr>
                <w:sz w:val="20"/>
                <w:szCs w:val="20"/>
              </w:rPr>
              <w:t>Pahrump</w:t>
            </w:r>
          </w:p>
        </w:tc>
        <w:tc>
          <w:tcPr>
            <w:tcW w:w="3798" w:type="dxa"/>
            <w:shd w:val="clear" w:color="auto" w:fill="C0C0C0"/>
          </w:tcPr>
          <w:p w:rsidR="00FF0559" w:rsidRPr="00FF0559" w:rsidRDefault="00FF0559" w:rsidP="00F55A85">
            <w:pPr>
              <w:spacing w:after="0"/>
              <w:rPr>
                <w:sz w:val="20"/>
                <w:szCs w:val="20"/>
              </w:rPr>
            </w:pPr>
            <w:r w:rsidRPr="00FF0559">
              <w:rPr>
                <w:sz w:val="20"/>
                <w:szCs w:val="20"/>
              </w:rPr>
              <w:t>Math       (VPAA)</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Music/Theater</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Elko</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Fine Arts &amp; Humanities</w:t>
            </w:r>
          </w:p>
        </w:tc>
      </w:tr>
      <w:tr w:rsidR="00F55A85" w:rsidRPr="00FF0559" w:rsidTr="00F55A85">
        <w:trPr>
          <w:trHeight w:val="233"/>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Nursing</w:t>
            </w:r>
          </w:p>
        </w:tc>
        <w:tc>
          <w:tcPr>
            <w:tcW w:w="1530" w:type="dxa"/>
            <w:shd w:val="clear" w:color="auto" w:fill="C0C0C0"/>
          </w:tcPr>
          <w:p w:rsidR="00FF0559" w:rsidRPr="00FF0559" w:rsidRDefault="00FF0559" w:rsidP="00F55A85">
            <w:pPr>
              <w:spacing w:after="0"/>
              <w:rPr>
                <w:sz w:val="20"/>
                <w:szCs w:val="20"/>
              </w:rPr>
            </w:pPr>
            <w:r w:rsidRPr="00FF0559">
              <w:rPr>
                <w:sz w:val="20"/>
                <w:szCs w:val="20"/>
              </w:rPr>
              <w:t>Pahrump</w:t>
            </w:r>
          </w:p>
        </w:tc>
        <w:tc>
          <w:tcPr>
            <w:tcW w:w="3798" w:type="dxa"/>
            <w:shd w:val="clear" w:color="auto" w:fill="C0C0C0"/>
          </w:tcPr>
          <w:p w:rsidR="00FF0559" w:rsidRPr="00FF0559" w:rsidRDefault="00FF0559" w:rsidP="00F55A85">
            <w:pPr>
              <w:spacing w:after="0"/>
              <w:rPr>
                <w:sz w:val="20"/>
                <w:szCs w:val="20"/>
              </w:rPr>
            </w:pPr>
            <w:r w:rsidRPr="00FF0559">
              <w:rPr>
                <w:sz w:val="20"/>
                <w:szCs w:val="20"/>
              </w:rPr>
              <w:t>Health Sciences &amp; Human Services (VPAA)</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Nursing Skills Lab Coordinator (get clarification)</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Elko</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Health Sciences &amp; Human Services</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Psychology/Sociology (60%)</w:t>
            </w:r>
          </w:p>
        </w:tc>
        <w:tc>
          <w:tcPr>
            <w:tcW w:w="1530" w:type="dxa"/>
            <w:shd w:val="clear" w:color="auto" w:fill="C0C0C0"/>
          </w:tcPr>
          <w:p w:rsidR="00FF0559" w:rsidRPr="00FF0559" w:rsidRDefault="00FF0559" w:rsidP="00F55A85">
            <w:pPr>
              <w:spacing w:after="0"/>
              <w:rPr>
                <w:sz w:val="20"/>
                <w:szCs w:val="20"/>
              </w:rPr>
            </w:pPr>
            <w:r w:rsidRPr="00FF0559">
              <w:rPr>
                <w:sz w:val="20"/>
                <w:szCs w:val="20"/>
              </w:rPr>
              <w:t>Elko</w:t>
            </w:r>
          </w:p>
        </w:tc>
        <w:tc>
          <w:tcPr>
            <w:tcW w:w="3798" w:type="dxa"/>
            <w:shd w:val="clear" w:color="auto" w:fill="C0C0C0"/>
          </w:tcPr>
          <w:p w:rsidR="00FF0559" w:rsidRPr="00FF0559" w:rsidRDefault="00FF0559" w:rsidP="00F55A85">
            <w:pPr>
              <w:spacing w:after="0"/>
              <w:rPr>
                <w:sz w:val="20"/>
                <w:szCs w:val="20"/>
              </w:rPr>
            </w:pPr>
            <w:r w:rsidRPr="00FF0559">
              <w:rPr>
                <w:sz w:val="20"/>
                <w:szCs w:val="20"/>
              </w:rPr>
              <w:t>Social Sciences</w:t>
            </w:r>
          </w:p>
        </w:tc>
      </w:tr>
      <w:tr w:rsidR="00F55A85" w:rsidRPr="00FF0559" w:rsidTr="00F55A85">
        <w:trPr>
          <w:jc w:val="center"/>
        </w:trPr>
        <w:tc>
          <w:tcPr>
            <w:tcW w:w="4248" w:type="dxa"/>
            <w:tcBorders>
              <w:right w:val="nil"/>
            </w:tcBorders>
            <w:shd w:val="clear" w:color="auto" w:fill="auto"/>
          </w:tcPr>
          <w:p w:rsidR="00FF0559" w:rsidRPr="00FF0559" w:rsidRDefault="00FF0559" w:rsidP="00F55A85">
            <w:pPr>
              <w:spacing w:after="0"/>
              <w:rPr>
                <w:b/>
                <w:bCs/>
                <w:sz w:val="20"/>
                <w:szCs w:val="20"/>
              </w:rPr>
            </w:pPr>
            <w:r w:rsidRPr="00FF0559">
              <w:rPr>
                <w:b/>
                <w:bCs/>
                <w:sz w:val="20"/>
                <w:szCs w:val="20"/>
              </w:rPr>
              <w:t xml:space="preserve">Social Sciences </w:t>
            </w:r>
          </w:p>
        </w:tc>
        <w:tc>
          <w:tcPr>
            <w:tcW w:w="1530" w:type="dxa"/>
            <w:tcBorders>
              <w:left w:val="nil"/>
              <w:right w:val="nil"/>
            </w:tcBorders>
            <w:shd w:val="clear" w:color="auto" w:fill="auto"/>
          </w:tcPr>
          <w:p w:rsidR="00FF0559" w:rsidRPr="00FF0559" w:rsidRDefault="00FF0559" w:rsidP="00F55A85">
            <w:pPr>
              <w:spacing w:after="0"/>
              <w:rPr>
                <w:sz w:val="20"/>
                <w:szCs w:val="20"/>
              </w:rPr>
            </w:pPr>
            <w:r w:rsidRPr="00FF0559">
              <w:rPr>
                <w:sz w:val="20"/>
                <w:szCs w:val="20"/>
              </w:rPr>
              <w:t>Pahrump</w:t>
            </w:r>
          </w:p>
        </w:tc>
        <w:tc>
          <w:tcPr>
            <w:tcW w:w="3798" w:type="dxa"/>
            <w:tcBorders>
              <w:left w:val="nil"/>
            </w:tcBorders>
            <w:shd w:val="clear" w:color="auto" w:fill="auto"/>
          </w:tcPr>
          <w:p w:rsidR="00FF0559" w:rsidRPr="00FF0559" w:rsidRDefault="00FF0559" w:rsidP="00F55A85">
            <w:pPr>
              <w:spacing w:after="0"/>
              <w:rPr>
                <w:sz w:val="20"/>
                <w:szCs w:val="20"/>
              </w:rPr>
            </w:pPr>
            <w:r w:rsidRPr="00FF0559">
              <w:rPr>
                <w:sz w:val="20"/>
                <w:szCs w:val="20"/>
              </w:rPr>
              <w:t>Social Sciences      (VPAA)</w:t>
            </w:r>
          </w:p>
        </w:tc>
      </w:tr>
      <w:tr w:rsidR="00F55A85" w:rsidRPr="00FF0559" w:rsidTr="00F55A85">
        <w:trPr>
          <w:jc w:val="center"/>
        </w:trPr>
        <w:tc>
          <w:tcPr>
            <w:tcW w:w="4248" w:type="dxa"/>
            <w:shd w:val="clear" w:color="auto" w:fill="C0C0C0"/>
          </w:tcPr>
          <w:p w:rsidR="00FF0559" w:rsidRPr="00FF0559" w:rsidRDefault="00FF0559" w:rsidP="00F55A85">
            <w:pPr>
              <w:spacing w:after="0"/>
              <w:rPr>
                <w:b/>
                <w:bCs/>
                <w:sz w:val="20"/>
                <w:szCs w:val="20"/>
              </w:rPr>
            </w:pPr>
            <w:r w:rsidRPr="00FF0559">
              <w:rPr>
                <w:b/>
                <w:bCs/>
                <w:sz w:val="20"/>
                <w:szCs w:val="20"/>
              </w:rPr>
              <w:t>Welding Technology</w:t>
            </w:r>
          </w:p>
        </w:tc>
        <w:tc>
          <w:tcPr>
            <w:tcW w:w="1530" w:type="dxa"/>
            <w:shd w:val="clear" w:color="auto" w:fill="C0C0C0"/>
          </w:tcPr>
          <w:p w:rsidR="00FF0559" w:rsidRPr="00FF0559" w:rsidRDefault="00FF0559" w:rsidP="00F55A85">
            <w:pPr>
              <w:spacing w:after="0"/>
              <w:rPr>
                <w:sz w:val="20"/>
                <w:szCs w:val="20"/>
              </w:rPr>
            </w:pPr>
            <w:r w:rsidRPr="00FF0559">
              <w:rPr>
                <w:sz w:val="20"/>
                <w:szCs w:val="20"/>
              </w:rPr>
              <w:t>Elko</w:t>
            </w:r>
          </w:p>
        </w:tc>
        <w:tc>
          <w:tcPr>
            <w:tcW w:w="3798" w:type="dxa"/>
            <w:shd w:val="clear" w:color="auto" w:fill="C0C0C0"/>
          </w:tcPr>
          <w:p w:rsidR="00FF0559" w:rsidRPr="00FF0559" w:rsidRDefault="00FF0559" w:rsidP="00F55A85">
            <w:pPr>
              <w:spacing w:after="0"/>
              <w:rPr>
                <w:sz w:val="20"/>
                <w:szCs w:val="20"/>
              </w:rPr>
            </w:pPr>
            <w:r w:rsidRPr="00FF0559">
              <w:rPr>
                <w:sz w:val="20"/>
                <w:szCs w:val="20"/>
              </w:rPr>
              <w:t>Career and Technical Education</w:t>
            </w:r>
          </w:p>
        </w:tc>
      </w:tr>
    </w:tbl>
    <w:p w:rsidR="00FF0559" w:rsidRDefault="00FF0559" w:rsidP="002A1343">
      <w:pPr>
        <w:autoSpaceDE w:val="0"/>
        <w:autoSpaceDN w:val="0"/>
        <w:adjustRightInd w:val="0"/>
        <w:spacing w:after="0"/>
      </w:pPr>
    </w:p>
    <w:p w:rsidR="007A32D6" w:rsidRPr="00AD230E" w:rsidRDefault="007A32D6" w:rsidP="007A32D6">
      <w:pPr>
        <w:autoSpaceDE w:val="0"/>
        <w:autoSpaceDN w:val="0"/>
        <w:adjustRightInd w:val="0"/>
        <w:spacing w:after="0"/>
        <w:jc w:val="center"/>
        <w:rPr>
          <w:b/>
          <w:szCs w:val="24"/>
        </w:rPr>
      </w:pPr>
      <w:r w:rsidRPr="00AD230E">
        <w:rPr>
          <w:b/>
          <w:szCs w:val="24"/>
        </w:rPr>
        <w:t>Vision List Five to Ten Years for Program and Departments – Faculty Positions</w:t>
      </w:r>
    </w:p>
    <w:tbl>
      <w:tblPr>
        <w:tblpPr w:leftFromText="180" w:rightFromText="180" w:vertAnchor="text" w:horzAnchor="margin" w:tblpXSpec="center" w:tblpY="222"/>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248"/>
        <w:gridCol w:w="1530"/>
        <w:gridCol w:w="3798"/>
      </w:tblGrid>
      <w:tr w:rsidR="00F55A85" w:rsidRPr="00F55A85" w:rsidTr="00F55A85">
        <w:tc>
          <w:tcPr>
            <w:tcW w:w="4248" w:type="dxa"/>
            <w:tcBorders>
              <w:top w:val="single" w:sz="8" w:space="0" w:color="404040"/>
              <w:left w:val="single" w:sz="8" w:space="0" w:color="404040"/>
              <w:bottom w:val="single" w:sz="8" w:space="0" w:color="404040"/>
            </w:tcBorders>
            <w:shd w:val="clear" w:color="auto" w:fill="000000"/>
          </w:tcPr>
          <w:p w:rsidR="007A32D6" w:rsidRPr="00F55A85" w:rsidRDefault="007A32D6" w:rsidP="00F55A85">
            <w:pPr>
              <w:spacing w:after="0"/>
              <w:rPr>
                <w:b/>
                <w:bCs/>
                <w:color w:val="FFFFFF"/>
                <w:sz w:val="20"/>
                <w:szCs w:val="20"/>
              </w:rPr>
            </w:pPr>
            <w:r w:rsidRPr="00F55A85">
              <w:rPr>
                <w:b/>
                <w:bCs/>
                <w:color w:val="FFFFFF"/>
                <w:sz w:val="20"/>
                <w:szCs w:val="20"/>
              </w:rPr>
              <w:t>Instructor Position</w:t>
            </w:r>
          </w:p>
        </w:tc>
        <w:tc>
          <w:tcPr>
            <w:tcW w:w="1530" w:type="dxa"/>
            <w:tcBorders>
              <w:top w:val="single" w:sz="8" w:space="0" w:color="404040"/>
              <w:bottom w:val="single" w:sz="8" w:space="0" w:color="404040"/>
            </w:tcBorders>
            <w:shd w:val="clear" w:color="auto" w:fill="000000"/>
          </w:tcPr>
          <w:p w:rsidR="007A32D6" w:rsidRPr="00F55A85" w:rsidRDefault="007A32D6" w:rsidP="00F55A85">
            <w:pPr>
              <w:spacing w:after="0"/>
              <w:rPr>
                <w:b/>
                <w:bCs/>
                <w:color w:val="FFFFFF"/>
                <w:sz w:val="20"/>
                <w:szCs w:val="20"/>
              </w:rPr>
            </w:pPr>
            <w:r w:rsidRPr="00F55A85">
              <w:rPr>
                <w:b/>
                <w:bCs/>
                <w:color w:val="FFFFFF"/>
                <w:sz w:val="20"/>
                <w:szCs w:val="20"/>
              </w:rPr>
              <w:t>Location</w:t>
            </w:r>
          </w:p>
        </w:tc>
        <w:tc>
          <w:tcPr>
            <w:tcW w:w="3798" w:type="dxa"/>
            <w:tcBorders>
              <w:top w:val="single" w:sz="8" w:space="0" w:color="404040"/>
              <w:bottom w:val="single" w:sz="8" w:space="0" w:color="404040"/>
              <w:right w:val="single" w:sz="8" w:space="0" w:color="404040"/>
            </w:tcBorders>
            <w:shd w:val="clear" w:color="auto" w:fill="000000"/>
          </w:tcPr>
          <w:p w:rsidR="007A32D6" w:rsidRPr="00F55A85" w:rsidRDefault="007A32D6" w:rsidP="00F55A85">
            <w:pPr>
              <w:spacing w:after="0"/>
              <w:rPr>
                <w:b/>
                <w:bCs/>
                <w:color w:val="FFFFFF"/>
                <w:sz w:val="20"/>
                <w:szCs w:val="20"/>
              </w:rPr>
            </w:pPr>
            <w:r w:rsidRPr="00F55A85">
              <w:rPr>
                <w:b/>
                <w:bCs/>
                <w:color w:val="FFFFFF"/>
                <w:sz w:val="20"/>
                <w:szCs w:val="20"/>
              </w:rPr>
              <w:t>Department</w:t>
            </w:r>
          </w:p>
        </w:tc>
      </w:tr>
      <w:tr w:rsidR="00F55A85" w:rsidRPr="00F55A85" w:rsidTr="00F55A85">
        <w:tc>
          <w:tcPr>
            <w:tcW w:w="4248" w:type="dxa"/>
            <w:shd w:val="clear" w:color="auto" w:fill="C0C0C0"/>
          </w:tcPr>
          <w:p w:rsidR="007A32D6" w:rsidRPr="007A32D6" w:rsidRDefault="007A32D6" w:rsidP="00F55A85">
            <w:pPr>
              <w:spacing w:after="0"/>
              <w:rPr>
                <w:rFonts w:cs="Calibri"/>
                <w:b/>
                <w:bCs/>
                <w:sz w:val="20"/>
                <w:szCs w:val="20"/>
              </w:rPr>
            </w:pPr>
            <w:r w:rsidRPr="007A32D6">
              <w:rPr>
                <w:rFonts w:eastAsia="Times New Roman" w:cs="Calibri"/>
                <w:b/>
                <w:bCs/>
                <w:sz w:val="20"/>
                <w:szCs w:val="20"/>
              </w:rPr>
              <w:t>Diesel or Millwright</w:t>
            </w:r>
          </w:p>
        </w:tc>
        <w:tc>
          <w:tcPr>
            <w:tcW w:w="1530" w:type="dxa"/>
            <w:shd w:val="clear" w:color="auto" w:fill="C0C0C0"/>
          </w:tcPr>
          <w:p w:rsidR="007A32D6" w:rsidRPr="007A32D6" w:rsidRDefault="007A32D6" w:rsidP="00F55A85">
            <w:pPr>
              <w:spacing w:after="0"/>
              <w:rPr>
                <w:rFonts w:cs="Calibri"/>
                <w:sz w:val="20"/>
                <w:szCs w:val="20"/>
              </w:rPr>
            </w:pPr>
            <w:r w:rsidRPr="007A32D6">
              <w:rPr>
                <w:rFonts w:cs="Calibri"/>
                <w:sz w:val="20"/>
                <w:szCs w:val="20"/>
              </w:rPr>
              <w:t>Winnemucca or Ely</w:t>
            </w:r>
          </w:p>
        </w:tc>
        <w:tc>
          <w:tcPr>
            <w:tcW w:w="3798" w:type="dxa"/>
            <w:shd w:val="clear" w:color="auto" w:fill="C0C0C0"/>
          </w:tcPr>
          <w:p w:rsidR="007A32D6" w:rsidRPr="007A32D6" w:rsidRDefault="007A32D6" w:rsidP="00F55A85">
            <w:pPr>
              <w:spacing w:after="0"/>
              <w:rPr>
                <w:rFonts w:cs="Calibri"/>
                <w:sz w:val="20"/>
                <w:szCs w:val="20"/>
              </w:rPr>
            </w:pPr>
            <w:r w:rsidRPr="007A32D6">
              <w:rPr>
                <w:rFonts w:cs="Calibri"/>
                <w:sz w:val="20"/>
                <w:szCs w:val="20"/>
              </w:rPr>
              <w:t>Career &amp; Technical Education</w:t>
            </w:r>
          </w:p>
        </w:tc>
      </w:tr>
      <w:tr w:rsidR="00F55A85" w:rsidRPr="007A32D6" w:rsidTr="00F55A85">
        <w:tc>
          <w:tcPr>
            <w:tcW w:w="4248" w:type="dxa"/>
            <w:tcBorders>
              <w:right w:val="nil"/>
            </w:tcBorders>
            <w:shd w:val="clear" w:color="auto" w:fill="auto"/>
          </w:tcPr>
          <w:p w:rsidR="007A32D6" w:rsidRPr="007A32D6" w:rsidRDefault="007A32D6" w:rsidP="00F55A85">
            <w:pPr>
              <w:spacing w:after="0"/>
              <w:rPr>
                <w:rFonts w:cs="Calibri"/>
                <w:b/>
                <w:bCs/>
                <w:sz w:val="20"/>
                <w:szCs w:val="20"/>
              </w:rPr>
            </w:pPr>
            <w:r w:rsidRPr="007A32D6">
              <w:rPr>
                <w:rFonts w:cs="Calibri"/>
                <w:b/>
                <w:bCs/>
                <w:sz w:val="20"/>
                <w:szCs w:val="20"/>
              </w:rPr>
              <w:t xml:space="preserve">OSHA/MSHA Mine Safety </w:t>
            </w:r>
          </w:p>
        </w:tc>
        <w:tc>
          <w:tcPr>
            <w:tcW w:w="1530" w:type="dxa"/>
            <w:tcBorders>
              <w:left w:val="nil"/>
              <w:right w:val="nil"/>
            </w:tcBorders>
            <w:shd w:val="clear" w:color="auto" w:fill="auto"/>
          </w:tcPr>
          <w:p w:rsidR="007A32D6" w:rsidRPr="007A32D6" w:rsidRDefault="007A32D6" w:rsidP="00F55A85">
            <w:pPr>
              <w:spacing w:after="0"/>
              <w:rPr>
                <w:rFonts w:cs="Calibri"/>
                <w:sz w:val="20"/>
                <w:szCs w:val="20"/>
              </w:rPr>
            </w:pPr>
            <w:r w:rsidRPr="007A32D6">
              <w:rPr>
                <w:rFonts w:cs="Calibri"/>
                <w:sz w:val="20"/>
                <w:szCs w:val="20"/>
              </w:rPr>
              <w:t>Elko</w:t>
            </w:r>
          </w:p>
        </w:tc>
        <w:tc>
          <w:tcPr>
            <w:tcW w:w="3798" w:type="dxa"/>
            <w:tcBorders>
              <w:left w:val="nil"/>
            </w:tcBorders>
            <w:shd w:val="clear" w:color="auto" w:fill="auto"/>
          </w:tcPr>
          <w:p w:rsidR="007A32D6" w:rsidRPr="007A32D6" w:rsidRDefault="007A32D6" w:rsidP="00F55A85">
            <w:pPr>
              <w:spacing w:after="0"/>
              <w:rPr>
                <w:rFonts w:cs="Calibri"/>
                <w:sz w:val="20"/>
                <w:szCs w:val="20"/>
              </w:rPr>
            </w:pPr>
            <w:r w:rsidRPr="007A32D6">
              <w:rPr>
                <w:rFonts w:cs="Calibri"/>
                <w:sz w:val="20"/>
                <w:szCs w:val="20"/>
              </w:rPr>
              <w:t>Career &amp; Technical Education</w:t>
            </w:r>
          </w:p>
        </w:tc>
      </w:tr>
      <w:tr w:rsidR="00F55A85" w:rsidRPr="00F55A85" w:rsidTr="00F55A85">
        <w:tc>
          <w:tcPr>
            <w:tcW w:w="4248" w:type="dxa"/>
            <w:shd w:val="clear" w:color="auto" w:fill="C0C0C0"/>
          </w:tcPr>
          <w:p w:rsidR="007A32D6" w:rsidRPr="007A32D6" w:rsidRDefault="007A32D6" w:rsidP="00F55A85">
            <w:pPr>
              <w:spacing w:after="0"/>
              <w:rPr>
                <w:rFonts w:cs="Calibri"/>
                <w:b/>
                <w:bCs/>
                <w:sz w:val="20"/>
                <w:szCs w:val="20"/>
              </w:rPr>
            </w:pPr>
            <w:r w:rsidRPr="007A32D6">
              <w:rPr>
                <w:rFonts w:cs="Calibri"/>
                <w:b/>
                <w:bCs/>
                <w:sz w:val="20"/>
                <w:szCs w:val="20"/>
              </w:rPr>
              <w:t>Green Energy (Solar, geothermal)</w:t>
            </w:r>
          </w:p>
        </w:tc>
        <w:tc>
          <w:tcPr>
            <w:tcW w:w="1530" w:type="dxa"/>
            <w:shd w:val="clear" w:color="auto" w:fill="C0C0C0"/>
          </w:tcPr>
          <w:p w:rsidR="007A32D6" w:rsidRPr="007A32D6" w:rsidRDefault="007A32D6" w:rsidP="00F55A85">
            <w:pPr>
              <w:spacing w:after="0"/>
              <w:rPr>
                <w:rFonts w:cs="Calibri"/>
                <w:sz w:val="20"/>
                <w:szCs w:val="20"/>
              </w:rPr>
            </w:pPr>
            <w:r w:rsidRPr="007A32D6">
              <w:rPr>
                <w:rFonts w:cs="Calibri"/>
                <w:sz w:val="20"/>
                <w:szCs w:val="20"/>
              </w:rPr>
              <w:t>Elko</w:t>
            </w:r>
          </w:p>
        </w:tc>
        <w:tc>
          <w:tcPr>
            <w:tcW w:w="3798" w:type="dxa"/>
            <w:shd w:val="clear" w:color="auto" w:fill="C0C0C0"/>
          </w:tcPr>
          <w:p w:rsidR="007A32D6" w:rsidRPr="007A32D6" w:rsidRDefault="007A32D6" w:rsidP="00F55A85">
            <w:pPr>
              <w:spacing w:after="0"/>
              <w:rPr>
                <w:rFonts w:cs="Calibri"/>
                <w:sz w:val="20"/>
                <w:szCs w:val="20"/>
              </w:rPr>
            </w:pPr>
            <w:r w:rsidRPr="007A32D6">
              <w:rPr>
                <w:rFonts w:cs="Calibri"/>
                <w:sz w:val="20"/>
                <w:szCs w:val="20"/>
              </w:rPr>
              <w:t>Career &amp; Technical Education</w:t>
            </w:r>
          </w:p>
        </w:tc>
      </w:tr>
      <w:tr w:rsidR="00F55A85" w:rsidRPr="007A32D6" w:rsidTr="00F55A85">
        <w:tc>
          <w:tcPr>
            <w:tcW w:w="4248" w:type="dxa"/>
            <w:tcBorders>
              <w:right w:val="nil"/>
            </w:tcBorders>
            <w:shd w:val="clear" w:color="auto" w:fill="auto"/>
          </w:tcPr>
          <w:p w:rsidR="007A32D6" w:rsidRPr="007A32D6" w:rsidRDefault="007A32D6" w:rsidP="00F55A85">
            <w:pPr>
              <w:spacing w:after="0"/>
              <w:rPr>
                <w:rFonts w:cs="Calibri"/>
                <w:b/>
                <w:bCs/>
                <w:sz w:val="20"/>
                <w:szCs w:val="20"/>
              </w:rPr>
            </w:pPr>
            <w:r w:rsidRPr="007A32D6">
              <w:rPr>
                <w:rFonts w:cs="Calibri"/>
                <w:b/>
                <w:bCs/>
                <w:sz w:val="20"/>
                <w:szCs w:val="20"/>
              </w:rPr>
              <w:t>Green Energy (Power Generation/Diesel Electric</w:t>
            </w:r>
          </w:p>
        </w:tc>
        <w:tc>
          <w:tcPr>
            <w:tcW w:w="1530" w:type="dxa"/>
            <w:tcBorders>
              <w:left w:val="nil"/>
              <w:right w:val="nil"/>
            </w:tcBorders>
            <w:shd w:val="clear" w:color="auto" w:fill="auto"/>
          </w:tcPr>
          <w:p w:rsidR="007A32D6" w:rsidRPr="007A32D6" w:rsidRDefault="007A32D6" w:rsidP="00F55A85">
            <w:pPr>
              <w:spacing w:after="0"/>
              <w:rPr>
                <w:rFonts w:cs="Calibri"/>
                <w:sz w:val="20"/>
                <w:szCs w:val="20"/>
              </w:rPr>
            </w:pPr>
            <w:r w:rsidRPr="007A32D6">
              <w:rPr>
                <w:rFonts w:cs="Calibri"/>
                <w:sz w:val="20"/>
                <w:szCs w:val="20"/>
              </w:rPr>
              <w:t>Elko</w:t>
            </w:r>
          </w:p>
        </w:tc>
        <w:tc>
          <w:tcPr>
            <w:tcW w:w="3798" w:type="dxa"/>
            <w:tcBorders>
              <w:left w:val="nil"/>
            </w:tcBorders>
            <w:shd w:val="clear" w:color="auto" w:fill="auto"/>
          </w:tcPr>
          <w:p w:rsidR="007A32D6" w:rsidRPr="007A32D6" w:rsidRDefault="007A32D6" w:rsidP="00F55A85">
            <w:pPr>
              <w:spacing w:after="0"/>
              <w:rPr>
                <w:rFonts w:cs="Calibri"/>
                <w:sz w:val="20"/>
                <w:szCs w:val="20"/>
              </w:rPr>
            </w:pPr>
            <w:r w:rsidRPr="007A32D6">
              <w:rPr>
                <w:rFonts w:cs="Calibri"/>
                <w:sz w:val="20"/>
                <w:szCs w:val="20"/>
              </w:rPr>
              <w:t>Career &amp; Technical Education</w:t>
            </w:r>
          </w:p>
        </w:tc>
      </w:tr>
    </w:tbl>
    <w:p w:rsidR="007A32D6" w:rsidRDefault="007A32D6" w:rsidP="007A32D6">
      <w:pPr>
        <w:autoSpaceDE w:val="0"/>
        <w:autoSpaceDN w:val="0"/>
        <w:adjustRightInd w:val="0"/>
        <w:spacing w:after="0"/>
        <w:jc w:val="center"/>
        <w:rPr>
          <w:b/>
          <w:sz w:val="28"/>
          <w:szCs w:val="28"/>
        </w:rPr>
      </w:pPr>
    </w:p>
    <w:p w:rsidR="007A32D6" w:rsidRDefault="007A32D6" w:rsidP="007A32D6">
      <w:pPr>
        <w:autoSpaceDE w:val="0"/>
        <w:autoSpaceDN w:val="0"/>
        <w:adjustRightInd w:val="0"/>
        <w:spacing w:after="0"/>
      </w:pPr>
    </w:p>
    <w:p w:rsidR="003F0C36" w:rsidRDefault="003F0C36" w:rsidP="007A32D6">
      <w:pPr>
        <w:autoSpaceDE w:val="0"/>
        <w:autoSpaceDN w:val="0"/>
        <w:adjustRightInd w:val="0"/>
        <w:spacing w:after="0"/>
      </w:pPr>
    </w:p>
    <w:p w:rsidR="003F0C36" w:rsidRDefault="003F0C36" w:rsidP="007A32D6">
      <w:pPr>
        <w:autoSpaceDE w:val="0"/>
        <w:autoSpaceDN w:val="0"/>
        <w:adjustRightInd w:val="0"/>
        <w:spacing w:after="0"/>
      </w:pPr>
    </w:p>
    <w:p w:rsidR="003F0C36" w:rsidRDefault="003F0C36" w:rsidP="007A32D6">
      <w:pPr>
        <w:autoSpaceDE w:val="0"/>
        <w:autoSpaceDN w:val="0"/>
        <w:adjustRightInd w:val="0"/>
        <w:spacing w:after="0"/>
      </w:pPr>
    </w:p>
    <w:p w:rsidR="003F0C36" w:rsidRDefault="003F0C36" w:rsidP="007A32D6">
      <w:pPr>
        <w:autoSpaceDE w:val="0"/>
        <w:autoSpaceDN w:val="0"/>
        <w:adjustRightInd w:val="0"/>
        <w:spacing w:after="0"/>
      </w:pPr>
    </w:p>
    <w:p w:rsidR="003F0C36" w:rsidRDefault="003F0C36" w:rsidP="007A32D6">
      <w:pPr>
        <w:autoSpaceDE w:val="0"/>
        <w:autoSpaceDN w:val="0"/>
        <w:adjustRightInd w:val="0"/>
        <w:spacing w:after="0"/>
      </w:pPr>
    </w:p>
    <w:p w:rsidR="003F0C36" w:rsidRDefault="003F0C36" w:rsidP="001E2139">
      <w:pPr>
        <w:numPr>
          <w:ilvl w:val="0"/>
          <w:numId w:val="2"/>
        </w:numPr>
        <w:autoSpaceDE w:val="0"/>
        <w:autoSpaceDN w:val="0"/>
        <w:adjustRightInd w:val="0"/>
        <w:spacing w:after="0"/>
      </w:pPr>
      <w:r>
        <w:t xml:space="preserve">The list will be compared with the needs assessment survey to ensure compatibility. If the needs assessment survey suggests additional positions they will be added. Once the review has occurred then the list will be taken to Faculty Senate and President’s Council for </w:t>
      </w:r>
      <w:r w:rsidR="0079519C">
        <w:t xml:space="preserve">final </w:t>
      </w:r>
      <w:r>
        <w:t xml:space="preserve">approval. </w:t>
      </w:r>
    </w:p>
    <w:p w:rsidR="003F0C36" w:rsidRDefault="003F0C36" w:rsidP="007A32D6">
      <w:pPr>
        <w:autoSpaceDE w:val="0"/>
        <w:autoSpaceDN w:val="0"/>
        <w:adjustRightInd w:val="0"/>
        <w:spacing w:after="0"/>
      </w:pPr>
    </w:p>
    <w:p w:rsidR="00C80686" w:rsidRDefault="00C80686" w:rsidP="007A32D6">
      <w:pPr>
        <w:autoSpaceDE w:val="0"/>
        <w:autoSpaceDN w:val="0"/>
        <w:adjustRightInd w:val="0"/>
        <w:spacing w:after="0"/>
      </w:pPr>
    </w:p>
    <w:p w:rsidR="00C80686" w:rsidRDefault="00C80686" w:rsidP="002A1343">
      <w:pPr>
        <w:autoSpaceDE w:val="0"/>
        <w:autoSpaceDN w:val="0"/>
        <w:adjustRightInd w:val="0"/>
        <w:spacing w:after="0"/>
      </w:pPr>
    </w:p>
    <w:p w:rsidR="002A1343" w:rsidRPr="00AD230E" w:rsidRDefault="002A1343" w:rsidP="00AD230E">
      <w:pPr>
        <w:autoSpaceDE w:val="0"/>
        <w:autoSpaceDN w:val="0"/>
        <w:adjustRightInd w:val="0"/>
        <w:spacing w:after="0"/>
        <w:rPr>
          <w:rFonts w:cs="Tahoma"/>
          <w:b/>
          <w:szCs w:val="24"/>
        </w:rPr>
      </w:pPr>
      <w:r w:rsidRPr="00AD230E">
        <w:rPr>
          <w:rFonts w:cs="Tahoma"/>
          <w:b/>
          <w:szCs w:val="24"/>
        </w:rPr>
        <w:lastRenderedPageBreak/>
        <w:t>Adjunct Faculty Evaluations for Zero Credit (Community Service) Courses</w:t>
      </w:r>
    </w:p>
    <w:p w:rsidR="002A1343" w:rsidRPr="00A833EE" w:rsidRDefault="002A1343" w:rsidP="001E2139">
      <w:pPr>
        <w:numPr>
          <w:ilvl w:val="0"/>
          <w:numId w:val="1"/>
        </w:numPr>
        <w:spacing w:after="0"/>
        <w:rPr>
          <w:rFonts w:eastAsia="Times New Roman"/>
          <w:iCs/>
          <w:szCs w:val="24"/>
        </w:rPr>
      </w:pPr>
      <w:r w:rsidRPr="00A833EE">
        <w:rPr>
          <w:rFonts w:eastAsia="Times New Roman"/>
          <w:iCs/>
          <w:szCs w:val="24"/>
        </w:rPr>
        <w:t xml:space="preserve">It was brought to the committee’s attention that non-credit community education courses need a different adjunct faculty evaluation process due to the large number and varied days, times, and locations of the classes. These are hobby-type, personal development courses that are graded on a pass/withdraw basis and do not count toward a degree. The duration of the classes is often only a few hours.  </w:t>
      </w:r>
    </w:p>
    <w:p w:rsidR="002A1343" w:rsidRDefault="002A1343" w:rsidP="00980AF9">
      <w:pPr>
        <w:numPr>
          <w:ilvl w:val="0"/>
          <w:numId w:val="1"/>
        </w:numPr>
        <w:spacing w:after="0"/>
        <w:rPr>
          <w:rFonts w:eastAsia="Times New Roman"/>
          <w:iCs/>
          <w:szCs w:val="24"/>
        </w:rPr>
      </w:pPr>
      <w:r w:rsidRPr="00A833EE">
        <w:rPr>
          <w:rFonts w:eastAsia="Times New Roman"/>
          <w:iCs/>
          <w:szCs w:val="24"/>
        </w:rPr>
        <w:t xml:space="preserve">It was recommended by the committee that instructors teaching community education courses </w:t>
      </w:r>
      <w:r w:rsidR="00AD230E">
        <w:rPr>
          <w:rFonts w:eastAsia="Times New Roman"/>
          <w:iCs/>
          <w:szCs w:val="24"/>
        </w:rPr>
        <w:t xml:space="preserve">offered for non-credit </w:t>
      </w:r>
      <w:r w:rsidRPr="00A833EE">
        <w:rPr>
          <w:rFonts w:eastAsia="Times New Roman"/>
          <w:iCs/>
          <w:szCs w:val="24"/>
        </w:rPr>
        <w:t xml:space="preserve">be exempt from the process. In lieu of the formal evaluation, each community education instructor will instead be evaluated by using the GBC continuing education and community service course evaluation form. The information from the completed course evaluations will provide beneficial information for the department and the instructors. </w:t>
      </w:r>
    </w:p>
    <w:p w:rsidR="00AD230E" w:rsidRPr="00A833EE" w:rsidRDefault="00AD230E" w:rsidP="00AD230E">
      <w:pPr>
        <w:spacing w:after="0" w:line="288" w:lineRule="auto"/>
        <w:ind w:left="720"/>
        <w:rPr>
          <w:rFonts w:eastAsia="Times New Roman"/>
          <w:iCs/>
          <w:szCs w:val="24"/>
        </w:rPr>
      </w:pPr>
    </w:p>
    <w:p w:rsidR="00AD230E" w:rsidRDefault="00AD230E" w:rsidP="00AD230E">
      <w:pPr>
        <w:autoSpaceDE w:val="0"/>
        <w:autoSpaceDN w:val="0"/>
        <w:adjustRightInd w:val="0"/>
        <w:spacing w:after="0"/>
        <w:rPr>
          <w:rFonts w:cs="Tahoma"/>
          <w:b/>
          <w:szCs w:val="24"/>
        </w:rPr>
      </w:pPr>
      <w:r w:rsidRPr="00AE24C6">
        <w:rPr>
          <w:rFonts w:cs="Tahoma"/>
          <w:b/>
          <w:szCs w:val="24"/>
        </w:rPr>
        <w:t>Faculty Overload Sub-Committee</w:t>
      </w:r>
    </w:p>
    <w:p w:rsidR="002A1343" w:rsidRDefault="002A1343" w:rsidP="001E2139">
      <w:pPr>
        <w:numPr>
          <w:ilvl w:val="0"/>
          <w:numId w:val="3"/>
        </w:numPr>
        <w:autoSpaceDE w:val="0"/>
        <w:autoSpaceDN w:val="0"/>
        <w:adjustRightInd w:val="0"/>
        <w:spacing w:after="0"/>
        <w:rPr>
          <w:rFonts w:cs="Tahoma"/>
          <w:szCs w:val="24"/>
        </w:rPr>
      </w:pPr>
      <w:r>
        <w:rPr>
          <w:rFonts w:cs="Tahoma"/>
          <w:szCs w:val="24"/>
        </w:rPr>
        <w:t xml:space="preserve">Action item </w:t>
      </w:r>
      <w:r w:rsidR="00980AF9">
        <w:rPr>
          <w:rFonts w:cs="Tahoma"/>
          <w:szCs w:val="24"/>
        </w:rPr>
        <w:t xml:space="preserve">was </w:t>
      </w:r>
      <w:r>
        <w:rPr>
          <w:rFonts w:cs="Tahoma"/>
          <w:szCs w:val="24"/>
        </w:rPr>
        <w:t>approved at Faculty Senate on February 24, 2012</w:t>
      </w:r>
    </w:p>
    <w:p w:rsidR="00515F0F" w:rsidRDefault="00515F0F" w:rsidP="00515F0F">
      <w:pPr>
        <w:autoSpaceDE w:val="0"/>
        <w:autoSpaceDN w:val="0"/>
        <w:adjustRightInd w:val="0"/>
        <w:spacing w:after="0"/>
        <w:ind w:left="1440"/>
        <w:rPr>
          <w:rFonts w:cs="Tahoma"/>
          <w:szCs w:val="24"/>
        </w:rPr>
      </w:pPr>
    </w:p>
    <w:p w:rsidR="002A1343" w:rsidRPr="0079519C" w:rsidRDefault="002A1343" w:rsidP="00515F0F">
      <w:pPr>
        <w:autoSpaceDE w:val="0"/>
        <w:autoSpaceDN w:val="0"/>
        <w:adjustRightInd w:val="0"/>
        <w:spacing w:after="0"/>
        <w:rPr>
          <w:rFonts w:cs="Tahoma"/>
          <w:b/>
          <w:szCs w:val="24"/>
        </w:rPr>
      </w:pPr>
      <w:r w:rsidRPr="0079519C">
        <w:rPr>
          <w:rFonts w:cs="Tahoma"/>
          <w:b/>
          <w:szCs w:val="24"/>
        </w:rPr>
        <w:t>Interactive Video Recordings</w:t>
      </w:r>
    </w:p>
    <w:p w:rsidR="00515F0F" w:rsidRDefault="00515F0F" w:rsidP="001E2139">
      <w:pPr>
        <w:numPr>
          <w:ilvl w:val="0"/>
          <w:numId w:val="4"/>
        </w:numPr>
        <w:autoSpaceDE w:val="0"/>
        <w:autoSpaceDN w:val="0"/>
        <w:adjustRightInd w:val="0"/>
        <w:spacing w:after="0"/>
        <w:rPr>
          <w:rFonts w:cs="Tahoma"/>
          <w:szCs w:val="24"/>
        </w:rPr>
      </w:pPr>
      <w:r>
        <w:rPr>
          <w:rFonts w:cs="Tahoma"/>
          <w:szCs w:val="24"/>
        </w:rPr>
        <w:t xml:space="preserve">The interactive video portion of the policy has been addressed. The reasonable accommodation piece </w:t>
      </w:r>
      <w:r w:rsidR="0079519C">
        <w:rPr>
          <w:rFonts w:cs="Tahoma"/>
          <w:szCs w:val="24"/>
        </w:rPr>
        <w:t>must still be finalized</w:t>
      </w:r>
      <w:r>
        <w:rPr>
          <w:rFonts w:cs="Tahoma"/>
          <w:szCs w:val="24"/>
        </w:rPr>
        <w:t xml:space="preserve"> with Julie Byrnes. </w:t>
      </w:r>
      <w:r w:rsidR="001928B7">
        <w:rPr>
          <w:rFonts w:cs="Tahoma"/>
          <w:szCs w:val="24"/>
        </w:rPr>
        <w:t>The sub-committee will work with the distance education co</w:t>
      </w:r>
      <w:r w:rsidR="0079519C">
        <w:rPr>
          <w:rFonts w:cs="Tahoma"/>
          <w:szCs w:val="24"/>
        </w:rPr>
        <w:t>mmittee to finalize the comprehensive process for</w:t>
      </w:r>
      <w:r w:rsidR="001928B7">
        <w:rPr>
          <w:rFonts w:cs="Tahoma"/>
          <w:szCs w:val="24"/>
        </w:rPr>
        <w:t xml:space="preserve"> live-net recordings. </w:t>
      </w:r>
      <w:r w:rsidR="0079519C">
        <w:rPr>
          <w:rFonts w:cs="Tahoma"/>
          <w:szCs w:val="24"/>
        </w:rPr>
        <w:t xml:space="preserve">Online instruction will be moving ahead with a lecture capture system that will tie directly to Canvas. This piece must also be incorporated into the process. </w:t>
      </w:r>
    </w:p>
    <w:p w:rsidR="00515F0F" w:rsidRDefault="00515F0F" w:rsidP="00515F0F">
      <w:pPr>
        <w:autoSpaceDE w:val="0"/>
        <w:autoSpaceDN w:val="0"/>
        <w:adjustRightInd w:val="0"/>
        <w:spacing w:after="0"/>
        <w:rPr>
          <w:rFonts w:cs="Tahoma"/>
          <w:szCs w:val="24"/>
        </w:rPr>
      </w:pPr>
    </w:p>
    <w:p w:rsidR="0079519C" w:rsidRPr="0079519C" w:rsidRDefault="002A1343" w:rsidP="00515F0F">
      <w:pPr>
        <w:autoSpaceDE w:val="0"/>
        <w:autoSpaceDN w:val="0"/>
        <w:adjustRightInd w:val="0"/>
        <w:spacing w:after="0"/>
        <w:rPr>
          <w:rFonts w:cs="Tahoma"/>
          <w:b/>
          <w:szCs w:val="24"/>
        </w:rPr>
      </w:pPr>
      <w:r w:rsidRPr="0079519C">
        <w:rPr>
          <w:rFonts w:cs="Tahoma"/>
          <w:b/>
          <w:szCs w:val="24"/>
        </w:rPr>
        <w:t>Faculty Senat</w:t>
      </w:r>
      <w:r w:rsidR="0079519C" w:rsidRPr="0079519C">
        <w:rPr>
          <w:rFonts w:cs="Tahoma"/>
          <w:b/>
          <w:szCs w:val="24"/>
        </w:rPr>
        <w:t>e Container/Committees Review</w:t>
      </w:r>
    </w:p>
    <w:p w:rsidR="00A325AB" w:rsidRPr="001E2139" w:rsidRDefault="0079519C" w:rsidP="001E2139">
      <w:pPr>
        <w:numPr>
          <w:ilvl w:val="0"/>
          <w:numId w:val="5"/>
        </w:numPr>
        <w:autoSpaceDE w:val="0"/>
        <w:autoSpaceDN w:val="0"/>
        <w:adjustRightInd w:val="0"/>
        <w:spacing w:after="0"/>
        <w:rPr>
          <w:rFonts w:cs="Arial"/>
          <w:color w:val="000000"/>
          <w:szCs w:val="24"/>
        </w:rPr>
      </w:pPr>
      <w:r>
        <w:rPr>
          <w:rFonts w:cs="Tahoma"/>
          <w:szCs w:val="24"/>
        </w:rPr>
        <w:t>The container reorganization a</w:t>
      </w:r>
      <w:r w:rsidR="002A1343">
        <w:rPr>
          <w:rFonts w:cs="Tahoma"/>
          <w:szCs w:val="24"/>
        </w:rPr>
        <w:t xml:space="preserve">ction item </w:t>
      </w:r>
      <w:r>
        <w:rPr>
          <w:rFonts w:cs="Tahoma"/>
          <w:szCs w:val="24"/>
        </w:rPr>
        <w:t xml:space="preserve">was </w:t>
      </w:r>
      <w:r w:rsidR="002A1343">
        <w:rPr>
          <w:rFonts w:cs="Tahoma"/>
          <w:szCs w:val="24"/>
        </w:rPr>
        <w:t xml:space="preserve">not approved at the February 24, 2012 </w:t>
      </w:r>
      <w:r>
        <w:rPr>
          <w:rFonts w:cs="Tahoma"/>
          <w:szCs w:val="24"/>
        </w:rPr>
        <w:t xml:space="preserve">Faculty Senate </w:t>
      </w:r>
      <w:r w:rsidR="002A1343">
        <w:rPr>
          <w:rFonts w:cs="Tahoma"/>
          <w:szCs w:val="24"/>
        </w:rPr>
        <w:t>meeting</w:t>
      </w:r>
      <w:r>
        <w:rPr>
          <w:rFonts w:cs="Tahoma"/>
          <w:szCs w:val="24"/>
        </w:rPr>
        <w:t>. The sub-committee will take into consideration the objections to the reorganization and present possible alternative so</w:t>
      </w:r>
      <w:r w:rsidR="007F09A8">
        <w:rPr>
          <w:rFonts w:cs="Tahoma"/>
          <w:szCs w:val="24"/>
        </w:rPr>
        <w:t xml:space="preserve">lutions to department chairs at the April meeting. </w:t>
      </w:r>
    </w:p>
    <w:p w:rsidR="001E2139" w:rsidRDefault="001E2139" w:rsidP="001E2139">
      <w:pPr>
        <w:autoSpaceDE w:val="0"/>
        <w:autoSpaceDN w:val="0"/>
        <w:adjustRightInd w:val="0"/>
        <w:spacing w:after="0"/>
        <w:rPr>
          <w:rFonts w:cs="Tahoma"/>
          <w:szCs w:val="24"/>
        </w:rPr>
      </w:pPr>
    </w:p>
    <w:p w:rsidR="001E2139" w:rsidRPr="00980AF9" w:rsidRDefault="001E2139" w:rsidP="001E2139">
      <w:pPr>
        <w:autoSpaceDE w:val="0"/>
        <w:autoSpaceDN w:val="0"/>
        <w:adjustRightInd w:val="0"/>
        <w:spacing w:after="0"/>
        <w:rPr>
          <w:rFonts w:cs="Tahoma"/>
          <w:b/>
          <w:szCs w:val="24"/>
        </w:rPr>
      </w:pPr>
      <w:bookmarkStart w:id="0" w:name="_GoBack"/>
      <w:r w:rsidRPr="00980AF9">
        <w:rPr>
          <w:rFonts w:cs="Tahoma"/>
          <w:b/>
          <w:szCs w:val="24"/>
        </w:rPr>
        <w:t>New Program Development</w:t>
      </w:r>
    </w:p>
    <w:bookmarkEnd w:id="0"/>
    <w:p w:rsidR="001E2139" w:rsidRPr="001E2139" w:rsidRDefault="001E2139" w:rsidP="001E2139">
      <w:pPr>
        <w:numPr>
          <w:ilvl w:val="0"/>
          <w:numId w:val="6"/>
        </w:numPr>
        <w:autoSpaceDE w:val="0"/>
        <w:autoSpaceDN w:val="0"/>
        <w:adjustRightInd w:val="0"/>
        <w:spacing w:after="0"/>
        <w:rPr>
          <w:rFonts w:cs="Arial"/>
          <w:color w:val="000000"/>
          <w:szCs w:val="24"/>
        </w:rPr>
      </w:pPr>
      <w:r>
        <w:rPr>
          <w:rFonts w:cs="Tahoma"/>
          <w:szCs w:val="24"/>
        </w:rPr>
        <w:t xml:space="preserve">New program development must first have the approval of the VPAA. Once the approval has been granted then the information is processed through the Curriculum and Articulation committee. </w:t>
      </w:r>
    </w:p>
    <w:p w:rsidR="001E2139" w:rsidRDefault="001E2139" w:rsidP="001E2139">
      <w:pPr>
        <w:autoSpaceDE w:val="0"/>
        <w:autoSpaceDN w:val="0"/>
        <w:adjustRightInd w:val="0"/>
        <w:spacing w:after="0"/>
        <w:rPr>
          <w:rFonts w:cs="Tahoma"/>
          <w:szCs w:val="24"/>
        </w:rPr>
      </w:pPr>
    </w:p>
    <w:p w:rsidR="001E2139" w:rsidRPr="0079519C" w:rsidRDefault="001E2139" w:rsidP="001E2139">
      <w:pPr>
        <w:autoSpaceDE w:val="0"/>
        <w:autoSpaceDN w:val="0"/>
        <w:adjustRightInd w:val="0"/>
        <w:spacing w:after="0"/>
        <w:rPr>
          <w:rFonts w:cs="Arial"/>
          <w:color w:val="000000"/>
          <w:szCs w:val="24"/>
        </w:rPr>
      </w:pPr>
    </w:p>
    <w:sectPr w:rsidR="001E2139" w:rsidRPr="0079519C" w:rsidSect="0060083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783"/>
    <w:multiLevelType w:val="hybridMultilevel"/>
    <w:tmpl w:val="DCA8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41805"/>
    <w:multiLevelType w:val="hybridMultilevel"/>
    <w:tmpl w:val="8F7AE83A"/>
    <w:lvl w:ilvl="0" w:tplc="1E6C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33104"/>
    <w:multiLevelType w:val="hybridMultilevel"/>
    <w:tmpl w:val="B79E99EA"/>
    <w:lvl w:ilvl="0" w:tplc="893C4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7FFA"/>
    <w:multiLevelType w:val="hybridMultilevel"/>
    <w:tmpl w:val="4786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15293"/>
    <w:multiLevelType w:val="hybridMultilevel"/>
    <w:tmpl w:val="37F03CAC"/>
    <w:lvl w:ilvl="0" w:tplc="DBBA3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41089"/>
    <w:multiLevelType w:val="hybridMultilevel"/>
    <w:tmpl w:val="9418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CA1"/>
    <w:rsid w:val="000130BF"/>
    <w:rsid w:val="00021CA8"/>
    <w:rsid w:val="000221FA"/>
    <w:rsid w:val="00042353"/>
    <w:rsid w:val="00042FFC"/>
    <w:rsid w:val="000572DB"/>
    <w:rsid w:val="000607DC"/>
    <w:rsid w:val="000625B6"/>
    <w:rsid w:val="0007730E"/>
    <w:rsid w:val="0008169B"/>
    <w:rsid w:val="00083001"/>
    <w:rsid w:val="000A5B4D"/>
    <w:rsid w:val="000D0355"/>
    <w:rsid w:val="000D331E"/>
    <w:rsid w:val="00113676"/>
    <w:rsid w:val="00121706"/>
    <w:rsid w:val="001928B7"/>
    <w:rsid w:val="001A1AF8"/>
    <w:rsid w:val="001A5460"/>
    <w:rsid w:val="001C134A"/>
    <w:rsid w:val="001D194B"/>
    <w:rsid w:val="001D36C4"/>
    <w:rsid w:val="001E2139"/>
    <w:rsid w:val="001F5DAD"/>
    <w:rsid w:val="001F74C1"/>
    <w:rsid w:val="00207175"/>
    <w:rsid w:val="002133D3"/>
    <w:rsid w:val="002336FF"/>
    <w:rsid w:val="00264884"/>
    <w:rsid w:val="002941C9"/>
    <w:rsid w:val="002A1343"/>
    <w:rsid w:val="002B11E2"/>
    <w:rsid w:val="002B1C03"/>
    <w:rsid w:val="002C58BE"/>
    <w:rsid w:val="002D3835"/>
    <w:rsid w:val="002F26C1"/>
    <w:rsid w:val="002F4D04"/>
    <w:rsid w:val="00307938"/>
    <w:rsid w:val="00314B8D"/>
    <w:rsid w:val="0031519E"/>
    <w:rsid w:val="00321B02"/>
    <w:rsid w:val="003336FF"/>
    <w:rsid w:val="003417B7"/>
    <w:rsid w:val="00354B5D"/>
    <w:rsid w:val="00377987"/>
    <w:rsid w:val="00377D0F"/>
    <w:rsid w:val="003A1498"/>
    <w:rsid w:val="003C523A"/>
    <w:rsid w:val="003D01A4"/>
    <w:rsid w:val="003D3E9E"/>
    <w:rsid w:val="003E6FAC"/>
    <w:rsid w:val="003F0C36"/>
    <w:rsid w:val="003F5528"/>
    <w:rsid w:val="0040155B"/>
    <w:rsid w:val="004162E6"/>
    <w:rsid w:val="0042247E"/>
    <w:rsid w:val="004266C8"/>
    <w:rsid w:val="00427D1B"/>
    <w:rsid w:val="00430A83"/>
    <w:rsid w:val="00476D7F"/>
    <w:rsid w:val="00492683"/>
    <w:rsid w:val="004B4D64"/>
    <w:rsid w:val="00515F0F"/>
    <w:rsid w:val="005267CF"/>
    <w:rsid w:val="00585BE9"/>
    <w:rsid w:val="005961D0"/>
    <w:rsid w:val="005A3810"/>
    <w:rsid w:val="005C2E86"/>
    <w:rsid w:val="005C7AD0"/>
    <w:rsid w:val="00600834"/>
    <w:rsid w:val="00604A6F"/>
    <w:rsid w:val="0060677A"/>
    <w:rsid w:val="00612BFA"/>
    <w:rsid w:val="006209C5"/>
    <w:rsid w:val="00643F6E"/>
    <w:rsid w:val="0064740B"/>
    <w:rsid w:val="00655887"/>
    <w:rsid w:val="00657B54"/>
    <w:rsid w:val="00661580"/>
    <w:rsid w:val="006A1708"/>
    <w:rsid w:val="006B0273"/>
    <w:rsid w:val="006B2053"/>
    <w:rsid w:val="006C51A2"/>
    <w:rsid w:val="006F6A32"/>
    <w:rsid w:val="00724099"/>
    <w:rsid w:val="00732093"/>
    <w:rsid w:val="0074454B"/>
    <w:rsid w:val="00744D4E"/>
    <w:rsid w:val="00751A30"/>
    <w:rsid w:val="007538BA"/>
    <w:rsid w:val="00770073"/>
    <w:rsid w:val="007805AB"/>
    <w:rsid w:val="00783A65"/>
    <w:rsid w:val="0079519C"/>
    <w:rsid w:val="007A32D6"/>
    <w:rsid w:val="007A47F7"/>
    <w:rsid w:val="007B21FB"/>
    <w:rsid w:val="007F09A8"/>
    <w:rsid w:val="008033B3"/>
    <w:rsid w:val="00804452"/>
    <w:rsid w:val="008156FE"/>
    <w:rsid w:val="008607E0"/>
    <w:rsid w:val="008641B7"/>
    <w:rsid w:val="008727BB"/>
    <w:rsid w:val="008827D8"/>
    <w:rsid w:val="008A4ACD"/>
    <w:rsid w:val="008B375A"/>
    <w:rsid w:val="008D791F"/>
    <w:rsid w:val="008E1C71"/>
    <w:rsid w:val="008E4E4C"/>
    <w:rsid w:val="008F5240"/>
    <w:rsid w:val="0090609D"/>
    <w:rsid w:val="00932B35"/>
    <w:rsid w:val="00946246"/>
    <w:rsid w:val="0095433B"/>
    <w:rsid w:val="00955755"/>
    <w:rsid w:val="00980AF9"/>
    <w:rsid w:val="009D5681"/>
    <w:rsid w:val="009D7BA9"/>
    <w:rsid w:val="009E0263"/>
    <w:rsid w:val="009E1166"/>
    <w:rsid w:val="009E6E5D"/>
    <w:rsid w:val="009E73D4"/>
    <w:rsid w:val="00A22728"/>
    <w:rsid w:val="00A325AB"/>
    <w:rsid w:val="00A473AD"/>
    <w:rsid w:val="00A6391C"/>
    <w:rsid w:val="00A80EEC"/>
    <w:rsid w:val="00A86E45"/>
    <w:rsid w:val="00A97505"/>
    <w:rsid w:val="00AA0EBF"/>
    <w:rsid w:val="00AB1044"/>
    <w:rsid w:val="00AD09F0"/>
    <w:rsid w:val="00AD230E"/>
    <w:rsid w:val="00AE24C6"/>
    <w:rsid w:val="00AE6A28"/>
    <w:rsid w:val="00AE7DFF"/>
    <w:rsid w:val="00AF672B"/>
    <w:rsid w:val="00B00A1F"/>
    <w:rsid w:val="00B1467B"/>
    <w:rsid w:val="00B17C61"/>
    <w:rsid w:val="00B239F1"/>
    <w:rsid w:val="00BB0FE8"/>
    <w:rsid w:val="00BB7804"/>
    <w:rsid w:val="00BB7E16"/>
    <w:rsid w:val="00BC4703"/>
    <w:rsid w:val="00BD0570"/>
    <w:rsid w:val="00C13F7B"/>
    <w:rsid w:val="00C14CCE"/>
    <w:rsid w:val="00C14F11"/>
    <w:rsid w:val="00C15E90"/>
    <w:rsid w:val="00C32CBB"/>
    <w:rsid w:val="00C33B37"/>
    <w:rsid w:val="00C34E76"/>
    <w:rsid w:val="00C56108"/>
    <w:rsid w:val="00C80686"/>
    <w:rsid w:val="00C81095"/>
    <w:rsid w:val="00CD56C1"/>
    <w:rsid w:val="00D003BC"/>
    <w:rsid w:val="00D06B4E"/>
    <w:rsid w:val="00D13B55"/>
    <w:rsid w:val="00D147F5"/>
    <w:rsid w:val="00D179FB"/>
    <w:rsid w:val="00D27B69"/>
    <w:rsid w:val="00D34D31"/>
    <w:rsid w:val="00D42E38"/>
    <w:rsid w:val="00D60580"/>
    <w:rsid w:val="00DA02D3"/>
    <w:rsid w:val="00DB38AB"/>
    <w:rsid w:val="00DC52B9"/>
    <w:rsid w:val="00DC749C"/>
    <w:rsid w:val="00DD6D13"/>
    <w:rsid w:val="00DD756B"/>
    <w:rsid w:val="00DD75CD"/>
    <w:rsid w:val="00DD7F69"/>
    <w:rsid w:val="00DF79F9"/>
    <w:rsid w:val="00E15AB2"/>
    <w:rsid w:val="00E247C5"/>
    <w:rsid w:val="00E62CA1"/>
    <w:rsid w:val="00E82612"/>
    <w:rsid w:val="00E8407B"/>
    <w:rsid w:val="00E87076"/>
    <w:rsid w:val="00E91177"/>
    <w:rsid w:val="00EB3AE8"/>
    <w:rsid w:val="00EB5CEC"/>
    <w:rsid w:val="00EC1497"/>
    <w:rsid w:val="00ED7F60"/>
    <w:rsid w:val="00EE72C1"/>
    <w:rsid w:val="00F3130A"/>
    <w:rsid w:val="00F35A28"/>
    <w:rsid w:val="00F46845"/>
    <w:rsid w:val="00F50665"/>
    <w:rsid w:val="00F546F9"/>
    <w:rsid w:val="00F55A85"/>
    <w:rsid w:val="00F6461E"/>
    <w:rsid w:val="00F66E07"/>
    <w:rsid w:val="00F705A5"/>
    <w:rsid w:val="00FA0790"/>
    <w:rsid w:val="00FA3F2E"/>
    <w:rsid w:val="00FB6917"/>
    <w:rsid w:val="00FB7007"/>
    <w:rsid w:val="00FF0559"/>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35"/>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835"/>
    <w:rPr>
      <w:sz w:val="24"/>
      <w:szCs w:val="22"/>
    </w:rPr>
  </w:style>
  <w:style w:type="paragraph" w:styleId="BalloonText">
    <w:name w:val="Balloon Text"/>
    <w:basedOn w:val="Normal"/>
    <w:link w:val="BalloonTextChar"/>
    <w:uiPriority w:val="99"/>
    <w:semiHidden/>
    <w:unhideWhenUsed/>
    <w:rsid w:val="000130B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130BF"/>
    <w:rPr>
      <w:rFonts w:ascii="Tahoma" w:hAnsi="Tahoma" w:cs="Tahoma"/>
      <w:sz w:val="16"/>
      <w:szCs w:val="16"/>
    </w:rPr>
  </w:style>
  <w:style w:type="table" w:styleId="MediumShading1">
    <w:name w:val="Medium Shading 1"/>
    <w:basedOn w:val="TableNormal"/>
    <w:uiPriority w:val="63"/>
    <w:rsid w:val="00FF055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5695">
      <w:bodyDiv w:val="1"/>
      <w:marLeft w:val="60"/>
      <w:marRight w:val="60"/>
      <w:marTop w:val="60"/>
      <w:marBottom w:val="15"/>
      <w:divBdr>
        <w:top w:val="none" w:sz="0" w:space="0" w:color="auto"/>
        <w:left w:val="none" w:sz="0" w:space="0" w:color="auto"/>
        <w:bottom w:val="none" w:sz="0" w:space="0" w:color="auto"/>
        <w:right w:val="none" w:sz="0" w:space="0" w:color="auto"/>
      </w:divBdr>
      <w:divsChild>
        <w:div w:id="922953541">
          <w:marLeft w:val="0"/>
          <w:marRight w:val="0"/>
          <w:marTop w:val="0"/>
          <w:marBottom w:val="0"/>
          <w:divBdr>
            <w:top w:val="none" w:sz="0" w:space="0" w:color="auto"/>
            <w:left w:val="none" w:sz="0" w:space="0" w:color="auto"/>
            <w:bottom w:val="none" w:sz="0" w:space="0" w:color="auto"/>
            <w:right w:val="none" w:sz="0" w:space="0" w:color="auto"/>
          </w:divBdr>
        </w:div>
      </w:divsChild>
    </w:div>
    <w:div w:id="1405570498">
      <w:bodyDiv w:val="1"/>
      <w:marLeft w:val="60"/>
      <w:marRight w:val="60"/>
      <w:marTop w:val="60"/>
      <w:marBottom w:val="15"/>
      <w:divBdr>
        <w:top w:val="none" w:sz="0" w:space="0" w:color="auto"/>
        <w:left w:val="none" w:sz="0" w:space="0" w:color="auto"/>
        <w:bottom w:val="none" w:sz="0" w:space="0" w:color="auto"/>
        <w:right w:val="none" w:sz="0" w:space="0" w:color="auto"/>
      </w:divBdr>
      <w:divsChild>
        <w:div w:id="964502809">
          <w:marLeft w:val="0"/>
          <w:marRight w:val="0"/>
          <w:marTop w:val="0"/>
          <w:marBottom w:val="0"/>
          <w:divBdr>
            <w:top w:val="none" w:sz="0" w:space="0" w:color="auto"/>
            <w:left w:val="single" w:sz="6" w:space="5" w:color="050505"/>
            <w:bottom w:val="none" w:sz="0" w:space="0" w:color="auto"/>
            <w:right w:val="none" w:sz="0" w:space="0" w:color="auto"/>
          </w:divBdr>
          <w:divsChild>
            <w:div w:id="974408708">
              <w:marLeft w:val="0"/>
              <w:marRight w:val="0"/>
              <w:marTop w:val="0"/>
              <w:marBottom w:val="0"/>
              <w:divBdr>
                <w:top w:val="none" w:sz="0" w:space="0" w:color="auto"/>
                <w:left w:val="none" w:sz="0" w:space="0" w:color="auto"/>
                <w:bottom w:val="none" w:sz="0" w:space="0" w:color="auto"/>
                <w:right w:val="none" w:sz="0" w:space="0" w:color="auto"/>
              </w:divBdr>
            </w:div>
            <w:div w:id="1056468271">
              <w:marLeft w:val="0"/>
              <w:marRight w:val="0"/>
              <w:marTop w:val="0"/>
              <w:marBottom w:val="0"/>
              <w:divBdr>
                <w:top w:val="none" w:sz="0" w:space="0" w:color="auto"/>
                <w:left w:val="none" w:sz="0" w:space="0" w:color="auto"/>
                <w:bottom w:val="none" w:sz="0" w:space="0" w:color="auto"/>
                <w:right w:val="none" w:sz="0" w:space="0" w:color="auto"/>
              </w:divBdr>
            </w:div>
            <w:div w:id="1420710827">
              <w:marLeft w:val="0"/>
              <w:marRight w:val="0"/>
              <w:marTop w:val="0"/>
              <w:marBottom w:val="0"/>
              <w:divBdr>
                <w:top w:val="none" w:sz="0" w:space="0" w:color="auto"/>
                <w:left w:val="none" w:sz="0" w:space="0" w:color="auto"/>
                <w:bottom w:val="none" w:sz="0" w:space="0" w:color="auto"/>
                <w:right w:val="none" w:sz="0" w:space="0" w:color="auto"/>
              </w:divBdr>
            </w:div>
            <w:div w:id="1504660251">
              <w:marLeft w:val="0"/>
              <w:marRight w:val="0"/>
              <w:marTop w:val="0"/>
              <w:marBottom w:val="0"/>
              <w:divBdr>
                <w:top w:val="none" w:sz="0" w:space="0" w:color="auto"/>
                <w:left w:val="none" w:sz="0" w:space="0" w:color="auto"/>
                <w:bottom w:val="none" w:sz="0" w:space="0" w:color="auto"/>
                <w:right w:val="none" w:sz="0" w:space="0" w:color="auto"/>
              </w:divBdr>
            </w:div>
            <w:div w:id="1558931979">
              <w:marLeft w:val="0"/>
              <w:marRight w:val="0"/>
              <w:marTop w:val="0"/>
              <w:marBottom w:val="0"/>
              <w:divBdr>
                <w:top w:val="none" w:sz="0" w:space="0" w:color="auto"/>
                <w:left w:val="none" w:sz="0" w:space="0" w:color="auto"/>
                <w:bottom w:val="none" w:sz="0" w:space="0" w:color="auto"/>
                <w:right w:val="none" w:sz="0" w:space="0" w:color="auto"/>
              </w:divBdr>
            </w:div>
            <w:div w:id="1600404691">
              <w:marLeft w:val="0"/>
              <w:marRight w:val="0"/>
              <w:marTop w:val="0"/>
              <w:marBottom w:val="0"/>
              <w:divBdr>
                <w:top w:val="none" w:sz="0" w:space="0" w:color="auto"/>
                <w:left w:val="none" w:sz="0" w:space="0" w:color="auto"/>
                <w:bottom w:val="none" w:sz="0" w:space="0" w:color="auto"/>
                <w:right w:val="none" w:sz="0" w:space="0" w:color="auto"/>
              </w:divBdr>
            </w:div>
            <w:div w:id="1664429171">
              <w:marLeft w:val="0"/>
              <w:marRight w:val="0"/>
              <w:marTop w:val="0"/>
              <w:marBottom w:val="0"/>
              <w:divBdr>
                <w:top w:val="none" w:sz="0" w:space="0" w:color="auto"/>
                <w:left w:val="none" w:sz="0" w:space="0" w:color="auto"/>
                <w:bottom w:val="none" w:sz="0" w:space="0" w:color="auto"/>
                <w:right w:val="none" w:sz="0" w:space="0" w:color="auto"/>
              </w:divBdr>
            </w:div>
            <w:div w:id="1834371499">
              <w:marLeft w:val="0"/>
              <w:marRight w:val="0"/>
              <w:marTop w:val="0"/>
              <w:marBottom w:val="0"/>
              <w:divBdr>
                <w:top w:val="none" w:sz="0" w:space="0" w:color="auto"/>
                <w:left w:val="none" w:sz="0" w:space="0" w:color="auto"/>
                <w:bottom w:val="none" w:sz="0" w:space="0" w:color="auto"/>
                <w:right w:val="none" w:sz="0" w:space="0" w:color="auto"/>
              </w:divBdr>
            </w:div>
            <w:div w:id="1881015366">
              <w:marLeft w:val="0"/>
              <w:marRight w:val="0"/>
              <w:marTop w:val="0"/>
              <w:marBottom w:val="0"/>
              <w:divBdr>
                <w:top w:val="none" w:sz="0" w:space="0" w:color="auto"/>
                <w:left w:val="none" w:sz="0" w:space="0" w:color="auto"/>
                <w:bottom w:val="none" w:sz="0" w:space="0" w:color="auto"/>
                <w:right w:val="none" w:sz="0" w:space="0" w:color="auto"/>
              </w:divBdr>
            </w:div>
            <w:div w:id="1996100675">
              <w:marLeft w:val="0"/>
              <w:marRight w:val="0"/>
              <w:marTop w:val="0"/>
              <w:marBottom w:val="0"/>
              <w:divBdr>
                <w:top w:val="none" w:sz="0" w:space="0" w:color="auto"/>
                <w:left w:val="none" w:sz="0" w:space="0" w:color="auto"/>
                <w:bottom w:val="none" w:sz="0" w:space="0" w:color="auto"/>
                <w:right w:val="none" w:sz="0" w:space="0" w:color="auto"/>
              </w:divBdr>
            </w:div>
            <w:div w:id="2051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6AF0-D724-4301-9EF6-82A3C0F3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Moore</dc:creator>
  <cp:keywords/>
  <cp:lastModifiedBy>Janie Moore</cp:lastModifiedBy>
  <cp:revision>10</cp:revision>
  <cp:lastPrinted>2012-03-01T22:25:00Z</cp:lastPrinted>
  <dcterms:created xsi:type="dcterms:W3CDTF">2012-03-28T17:07:00Z</dcterms:created>
  <dcterms:modified xsi:type="dcterms:W3CDTF">2012-04-04T23:59:00Z</dcterms:modified>
</cp:coreProperties>
</file>